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4"/>
          <w:szCs w:val="24"/>
          <w:color w:val="auto"/>
        </w:rPr>
      </w:pPr>
    </w:p>
    <w:p>
      <w:pPr>
        <w:spacing w:after="0" w:line="39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FORM 10-Q</w:t>
      </w:r>
    </w:p>
    <w:p>
      <w:pPr>
        <w:spacing w:after="0" w:line="379" w:lineRule="exact"/>
        <w:rPr>
          <w:sz w:val="24"/>
          <w:szCs w:val="24"/>
          <w:color w:val="auto"/>
        </w:rPr>
      </w:pPr>
    </w:p>
    <w:p>
      <w:pPr>
        <w:ind w:left="2100" w:hanging="271"/>
        <w:spacing w:after="0"/>
        <w:tabs>
          <w:tab w:leader="none" w:pos="21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4460" w:right="1760" w:hanging="2635"/>
        <w:spacing w:after="0" w:line="259" w:lineRule="auto"/>
        <w:tabs>
          <w:tab w:leader="none" w:pos="2106"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__to __</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Commission File Number: 001-39380</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609"/>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31"/>
                <w:szCs w:val="31"/>
                <w:b w:val="1"/>
                <w:bCs w:val="1"/>
                <w:color w:val="auto"/>
                <w:w w:val="92"/>
              </w:rPr>
              <w:t>nCino, Inc.</w:t>
            </w: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3"/>
              </w:rPr>
              <w:t>(Exact name of Registrant as specified in its charter)</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36"/>
        </w:trPr>
        <w:tc>
          <w:tcPr>
            <w:tcW w:w="1340" w:type="dxa"/>
            <w:vAlign w:val="bottom"/>
          </w:tcPr>
          <w:p>
            <w:pPr>
              <w:spacing w:after="0"/>
              <w:rPr>
                <w:sz w:val="20"/>
                <w:szCs w:val="20"/>
                <w:color w:val="auto"/>
              </w:rPr>
            </w:pPr>
          </w:p>
        </w:tc>
        <w:tc>
          <w:tcPr>
            <w:tcW w:w="2320" w:type="dxa"/>
            <w:vAlign w:val="bottom"/>
            <w:gridSpan w:val="2"/>
          </w:tcPr>
          <w:p>
            <w:pPr>
              <w:jc w:val="center"/>
              <w:ind w:right="1240"/>
              <w:spacing w:after="0"/>
              <w:rPr>
                <w:sz w:val="20"/>
                <w:szCs w:val="20"/>
                <w:color w:val="auto"/>
              </w:rPr>
            </w:pPr>
            <w:r>
              <w:rPr>
                <w:rFonts w:ascii="Arial" w:cs="Arial" w:eastAsia="Arial" w:hAnsi="Arial"/>
                <w:sz w:val="16"/>
                <w:szCs w:val="16"/>
                <w:b w:val="1"/>
                <w:bCs w:val="1"/>
                <w:color w:val="auto"/>
                <w:w w:val="91"/>
              </w:rPr>
              <w:t>Delaware</w:t>
            </w: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40" w:type="dxa"/>
            <w:vAlign w:val="bottom"/>
            <w:gridSpan w:val="2"/>
          </w:tcPr>
          <w:p>
            <w:pPr>
              <w:jc w:val="center"/>
              <w:ind w:left="304"/>
              <w:spacing w:after="0"/>
              <w:rPr>
                <w:sz w:val="20"/>
                <w:szCs w:val="20"/>
                <w:color w:val="auto"/>
              </w:rPr>
            </w:pPr>
            <w:r>
              <w:rPr>
                <w:rFonts w:ascii="Arial" w:cs="Arial" w:eastAsia="Arial" w:hAnsi="Arial"/>
                <w:sz w:val="16"/>
                <w:szCs w:val="16"/>
                <w:b w:val="1"/>
                <w:bCs w:val="1"/>
                <w:color w:val="auto"/>
                <w:w w:val="91"/>
              </w:rPr>
              <w:t>46-4353148</w:t>
            </w:r>
          </w:p>
        </w:tc>
      </w:tr>
      <w:tr>
        <w:trPr>
          <w:trHeight w:val="172"/>
        </w:trPr>
        <w:tc>
          <w:tcPr>
            <w:tcW w:w="3660" w:type="dxa"/>
            <w:vAlign w:val="bottom"/>
            <w:gridSpan w:val="3"/>
          </w:tcPr>
          <w:p>
            <w:pPr>
              <w:jc w:val="center"/>
              <w:ind w:left="4"/>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3660" w:type="dxa"/>
            <w:vAlign w:val="bottom"/>
            <w:gridSpan w:val="3"/>
          </w:tcPr>
          <w:p>
            <w:pPr>
              <w:jc w:val="center"/>
              <w:ind w:left="24"/>
              <w:spacing w:after="0"/>
              <w:rPr>
                <w:sz w:val="20"/>
                <w:szCs w:val="20"/>
                <w:color w:val="auto"/>
              </w:rPr>
            </w:pPr>
            <w:r>
              <w:rPr>
                <w:rFonts w:ascii="Arial" w:cs="Arial" w:eastAsia="Arial" w:hAnsi="Arial"/>
                <w:sz w:val="16"/>
                <w:szCs w:val="16"/>
                <w:i w:val="1"/>
                <w:iCs w:val="1"/>
                <w:color w:val="auto"/>
                <w:w w:val="96"/>
              </w:rPr>
              <w:t>incorporation or organization)</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6"/>
                <w:szCs w:val="16"/>
                <w:i w:val="1"/>
                <w:iCs w:val="1"/>
                <w:color w:val="auto"/>
                <w:w w:val="96"/>
              </w:rPr>
              <w:t>Identification No.)</w:t>
            </w:r>
          </w:p>
        </w:tc>
      </w:tr>
      <w:tr>
        <w:trPr>
          <w:trHeight w:val="262"/>
        </w:trPr>
        <w:tc>
          <w:tcPr>
            <w:tcW w:w="1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5"/>
              </w:rPr>
              <w:t>6770 Parker Farm Drive</w:t>
            </w:r>
          </w:p>
        </w:tc>
        <w:tc>
          <w:tcPr>
            <w:tcW w:w="36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184"/>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Wilmington, North Carolina 28405</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4"/>
              </w:rPr>
              <w:t>(Address of principal executive offices including zip code)</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493"/>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gridSpan w:val="2"/>
          </w:tcPr>
          <w:p>
            <w:pPr>
              <w:jc w:val="center"/>
              <w:ind w:left="1334"/>
              <w:spacing w:after="0"/>
              <w:rPr>
                <w:sz w:val="20"/>
                <w:szCs w:val="20"/>
                <w:color w:val="auto"/>
              </w:rPr>
            </w:pPr>
            <w:r>
              <w:rPr>
                <w:rFonts w:ascii="Arial" w:cs="Arial" w:eastAsia="Arial" w:hAnsi="Arial"/>
                <w:sz w:val="16"/>
                <w:szCs w:val="16"/>
                <w:b w:val="1"/>
                <w:bCs w:val="1"/>
                <w:color w:val="auto"/>
                <w:w w:val="93"/>
              </w:rPr>
              <w:t>(888) 676-2466</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473"/>
        </w:trPr>
        <w:tc>
          <w:tcPr>
            <w:tcW w:w="36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5"/>
        </w:trPr>
        <w:tc>
          <w:tcPr>
            <w:tcW w:w="13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40" w:type="dxa"/>
            <w:vAlign w:val="bottom"/>
          </w:tcPr>
          <w:p>
            <w:pPr>
              <w:spacing w:after="0"/>
              <w:rPr>
                <w:sz w:val="18"/>
                <w:szCs w:val="18"/>
                <w:color w:val="auto"/>
              </w:rPr>
            </w:pPr>
          </w:p>
        </w:tc>
        <w:tc>
          <w:tcPr>
            <w:tcW w:w="4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040" w:type="dxa"/>
            <w:vAlign w:val="bottom"/>
            <w:gridSpan w:val="2"/>
          </w:tcPr>
          <w:p>
            <w:pPr>
              <w:jc w:val="center"/>
              <w:ind w:left="284"/>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8"/>
        </w:trPr>
        <w:tc>
          <w:tcPr>
            <w:tcW w:w="3660" w:type="dxa"/>
            <w:vAlign w:val="bottom"/>
            <w:gridSpan w:val="3"/>
          </w:tcPr>
          <w:p>
            <w:pPr>
              <w:jc w:val="center"/>
              <w:ind w:left="4"/>
              <w:spacing w:after="0"/>
              <w:rPr>
                <w:sz w:val="20"/>
                <w:szCs w:val="20"/>
                <w:color w:val="auto"/>
              </w:rPr>
            </w:pPr>
            <w:r>
              <w:rPr>
                <w:rFonts w:ascii="Arial" w:cs="Arial" w:eastAsia="Arial" w:hAnsi="Arial"/>
                <w:sz w:val="14"/>
                <w:szCs w:val="14"/>
                <w:color w:val="auto"/>
                <w:w w:val="91"/>
              </w:rPr>
              <w:t>Common stock, par value $0.0005 per share</w:t>
            </w:r>
          </w:p>
        </w:tc>
        <w:tc>
          <w:tcPr>
            <w:tcW w:w="1380" w:type="dxa"/>
            <w:vAlign w:val="bottom"/>
          </w:tcPr>
          <w:p>
            <w:pPr>
              <w:spacing w:after="0"/>
              <w:rPr>
                <w:sz w:val="17"/>
                <w:szCs w:val="17"/>
                <w:color w:val="auto"/>
              </w:rPr>
            </w:pPr>
          </w:p>
        </w:tc>
        <w:tc>
          <w:tcPr>
            <w:tcW w:w="2620" w:type="dxa"/>
            <w:vAlign w:val="bottom"/>
            <w:gridSpan w:val="2"/>
          </w:tcPr>
          <w:p>
            <w:pPr>
              <w:jc w:val="center"/>
              <w:ind w:right="1480"/>
              <w:spacing w:after="0"/>
              <w:rPr>
                <w:sz w:val="20"/>
                <w:szCs w:val="20"/>
                <w:color w:val="auto"/>
              </w:rPr>
            </w:pPr>
            <w:r>
              <w:rPr>
                <w:rFonts w:ascii="Arial" w:cs="Arial" w:eastAsia="Arial" w:hAnsi="Arial"/>
                <w:sz w:val="14"/>
                <w:szCs w:val="14"/>
                <w:color w:val="auto"/>
              </w:rPr>
              <w:t>NCNO</w:t>
            </w:r>
          </w:p>
        </w:tc>
        <w:tc>
          <w:tcPr>
            <w:tcW w:w="3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5"/>
              </w:rPr>
              <w:t>The NASDAQ Global Select Market</w:t>
            </w:r>
          </w:p>
        </w:tc>
      </w:tr>
    </w:tbl>
    <w:p>
      <w:pPr>
        <w:spacing w:after="0" w:line="317" w:lineRule="exact"/>
        <w:rPr>
          <w:sz w:val="24"/>
          <w:szCs w:val="24"/>
          <w:color w:val="auto"/>
        </w:rPr>
      </w:pPr>
    </w:p>
    <w:p>
      <w:pPr>
        <w:ind w:right="16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o</w:t>
      </w:r>
    </w:p>
    <w:p>
      <w:pPr>
        <w:spacing w:after="0" w:line="248" w:lineRule="exact"/>
        <w:rPr>
          <w:sz w:val="24"/>
          <w:szCs w:val="24"/>
          <w:color w:val="auto"/>
        </w:rPr>
      </w:pPr>
    </w:p>
    <w:p>
      <w:pPr>
        <w:ind w:right="40"/>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o</w:t>
      </w:r>
    </w:p>
    <w:p>
      <w:pPr>
        <w:spacing w:after="0" w:line="261" w:lineRule="exact"/>
        <w:rPr>
          <w:sz w:val="24"/>
          <w:szCs w:val="24"/>
          <w:color w:val="auto"/>
        </w:rPr>
      </w:pPr>
    </w:p>
    <w:p>
      <w:pPr>
        <w:ind w:right="38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9"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342" w:lineRule="exact"/>
        <w:rPr>
          <w:sz w:val="24"/>
          <w:szCs w:val="24"/>
          <w:color w:val="auto"/>
        </w:rPr>
      </w:pPr>
    </w:p>
    <w:p>
      <w:pPr>
        <w:ind w:right="50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6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95,434,674 shares of common stock, $0.0005 par value per share, as of May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01"/>
        </w:trPr>
        <w:tc>
          <w:tcPr>
            <w:tcW w:w="20" w:type="dxa"/>
            <w:vAlign w:val="bottom"/>
          </w:tcPr>
          <w:p>
            <w:pPr>
              <w:spacing w:after="0"/>
              <w:rPr>
                <w:sz w:val="17"/>
                <w:szCs w:val="17"/>
                <w:color w:val="auto"/>
              </w:rPr>
            </w:pPr>
          </w:p>
        </w:tc>
        <w:tc>
          <w:tcPr>
            <w:tcW w:w="9960" w:type="dxa"/>
            <w:vAlign w:val="bottom"/>
            <w:gridSpan w:val="23"/>
          </w:tcPr>
          <w:p>
            <w:pPr>
              <w:spacing w:after="0" w:line="201" w:lineRule="exact"/>
              <w:rPr>
                <w:rFonts w:ascii="Arial" w:cs="Arial" w:eastAsia="Arial" w:hAnsi="Arial"/>
                <w:sz w:val="18"/>
                <w:szCs w:val="18"/>
                <w:color w:val="0000FF"/>
              </w:rPr>
            </w:pPr>
            <w:hyperlink w:anchor="page2">
              <w:r>
                <w:rPr>
                  <w:rFonts w:ascii="Arial" w:cs="Arial" w:eastAsia="Arial" w:hAnsi="Arial"/>
                  <w:sz w:val="18"/>
                  <w:szCs w:val="18"/>
                  <w:color w:val="0000FF"/>
                </w:rPr>
                <w:t>Cautionary Note Regarding Forward-Looking Statements</w:t>
              </w:r>
            </w:hyperlink>
          </w:p>
        </w:tc>
        <w:tc>
          <w:tcPr>
            <w:tcW w:w="1260" w:type="dxa"/>
            <w:vAlign w:val="bottom"/>
          </w:tcPr>
          <w:p>
            <w:pPr>
              <w:jc w:val="right"/>
              <w:spacing w:after="0" w:line="201" w:lineRule="exact"/>
              <w:rPr>
                <w:rFonts w:ascii="Arial" w:cs="Arial" w:eastAsia="Arial" w:hAnsi="Arial"/>
                <w:sz w:val="18"/>
                <w:szCs w:val="18"/>
                <w:color w:val="auto"/>
              </w:rPr>
            </w:pPr>
            <w:hyperlink w:anchor="page2">
              <w:r>
                <w:rPr>
                  <w:rFonts w:ascii="Arial" w:cs="Arial" w:eastAsia="Arial" w:hAnsi="Arial"/>
                  <w:sz w:val="18"/>
                  <w:szCs w:val="18"/>
                  <w:color w:val="auto"/>
                </w:rPr>
                <w:t>i</w:t>
              </w:r>
            </w:hyperlink>
          </w:p>
        </w:tc>
      </w:tr>
      <w:tr>
        <w:trPr>
          <w:trHeight w:val="480"/>
        </w:trPr>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5800" w:type="dxa"/>
            <w:vAlign w:val="bottom"/>
            <w:gridSpan w:val="13"/>
          </w:tcPr>
          <w:p>
            <w:pPr>
              <w:jc w:val="center"/>
              <w:ind w:right="2680"/>
              <w:spacing w:after="0"/>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Financial Information</w:t>
              </w:r>
            </w:hyperlink>
          </w:p>
        </w:tc>
        <w:tc>
          <w:tcPr>
            <w:tcW w:w="12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3700" w:type="dxa"/>
            <w:vAlign w:val="bottom"/>
            <w:gridSpan w:val="1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2240" w:type="dxa"/>
            <w:vAlign w:val="bottom"/>
            <w:tcBorders>
              <w:top w:val="single" w:sz="8" w:color="0000FF"/>
            </w:tcBorders>
            <w:gridSpan w:val="6"/>
          </w:tcPr>
          <w:p>
            <w:pPr>
              <w:spacing w:after="0"/>
              <w:rPr>
                <w:sz w:val="18"/>
                <w:szCs w:val="18"/>
                <w:color w:val="auto"/>
              </w:rPr>
            </w:pPr>
          </w:p>
        </w:tc>
        <w:tc>
          <w:tcPr>
            <w:tcW w:w="3120" w:type="dxa"/>
            <w:vAlign w:val="bottom"/>
            <w:gridSpan w:val="6"/>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Balance Sheets as of January 31, 2021 and April 30, 2021 (Unaudited)</w:t>
              </w:r>
            </w:hyperlink>
          </w:p>
        </w:tc>
        <w:tc>
          <w:tcPr>
            <w:tcW w:w="2140" w:type="dxa"/>
            <w:vAlign w:val="bottom"/>
            <w:gridSpan w:val="4"/>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gridSpan w:val="22"/>
          </w:tcPr>
          <w:p>
            <w:pPr>
              <w:spacing w:after="0"/>
              <w:rPr>
                <w:rFonts w:ascii="Arial" w:cs="Arial" w:eastAsia="Arial" w:hAnsi="Arial"/>
                <w:sz w:val="18"/>
                <w:szCs w:val="18"/>
                <w:color w:val="0000FF"/>
                <w:w w:val="97"/>
              </w:rPr>
            </w:pPr>
            <w:hyperlink w:anchor="page4">
              <w:r>
                <w:rPr>
                  <w:rFonts w:ascii="Arial" w:cs="Arial" w:eastAsia="Arial" w:hAnsi="Arial"/>
                  <w:sz w:val="18"/>
                  <w:szCs w:val="18"/>
                  <w:color w:val="0000FF"/>
                  <w:w w:val="97"/>
                </w:rPr>
                <w:t>Unaudited Condensed Consolidated Statements of Operations for the Three Months Ended April 30, 2020 and 2021</w:t>
              </w:r>
            </w:hyperlink>
          </w:p>
        </w:tc>
        <w:tc>
          <w:tcPr>
            <w:tcW w:w="12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tcBorders>
              <w:bottom w:val="single" w:sz="8" w:color="0000FF"/>
            </w:tcBorders>
            <w:gridSpan w:val="2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Unaudited Condensed Consolidated Statements of Comprehensive Loss for the Three Months Ended April 30, 2020 and 2021</w:t>
              </w:r>
            </w:hyperlink>
          </w:p>
        </w:tc>
        <w:tc>
          <w:tcPr>
            <w:tcW w:w="12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gridSpan w:val="22"/>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Unaudited Condensed Consolidated Statements of Stockholders' Equity for the Three Months Ended April 30, 2020 and 2021</w:t>
              </w:r>
            </w:hyperlink>
          </w:p>
        </w:tc>
        <w:tc>
          <w:tcPr>
            <w:tcW w:w="12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0" w:type="dxa"/>
            <w:vAlign w:val="bottom"/>
            <w:tcBorders>
              <w:top w:val="single" w:sz="8" w:color="0000FF"/>
              <w:bottom w:val="single" w:sz="8" w:color="0000FF"/>
            </w:tcBorders>
            <w:gridSpan w:val="20"/>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Unaudited Condensed Consolidated Statements of Cash Flows for the Three Months Ended April 30, 2020 and 2021</w:t>
              </w:r>
            </w:hyperlink>
          </w:p>
        </w:tc>
        <w:tc>
          <w:tcPr>
            <w:tcW w:w="6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gridSpan w:val="2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Condensed Consolidated Financial Statements</w:t>
              </w:r>
            </w:hyperlink>
          </w:p>
        </w:tc>
        <w:tc>
          <w:tcPr>
            <w:tcW w:w="12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2600" w:type="dxa"/>
            <w:vAlign w:val="bottom"/>
            <w:gridSpan w:val="5"/>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20</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Quantitative and Qualitative Disclosures About Market Risk</w:t>
              </w:r>
            </w:hyperlink>
          </w:p>
        </w:tc>
        <w:tc>
          <w:tcPr>
            <w:tcW w:w="4700" w:type="dxa"/>
            <w:vAlign w:val="bottom"/>
            <w:gridSpan w:val="9"/>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60" w:type="dxa"/>
            <w:vAlign w:val="bottom"/>
            <w:gridSpan w:val="2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12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32</w:t>
              </w:r>
            </w:hyperlink>
          </w:p>
        </w:tc>
      </w:tr>
      <w:tr>
        <w:trPr>
          <w:trHeight w:val="47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gridSpan w:val="11"/>
          </w:tcPr>
          <w:p>
            <w:pPr>
              <w:jc w:val="center"/>
              <w:ind w:right="3220"/>
              <w:spacing w:after="0"/>
              <w:rPr>
                <w:rFonts w:ascii="Arial" w:cs="Arial" w:eastAsia="Arial" w:hAnsi="Arial"/>
                <w:sz w:val="18"/>
                <w:szCs w:val="18"/>
                <w:b w:val="1"/>
                <w:bCs w:val="1"/>
                <w:color w:val="0000FF"/>
                <w:w w:val="97"/>
              </w:rPr>
            </w:pPr>
            <w:hyperlink w:anchor="page36">
              <w:r>
                <w:rPr>
                  <w:rFonts w:ascii="Arial" w:cs="Arial" w:eastAsia="Arial" w:hAnsi="Arial"/>
                  <w:sz w:val="18"/>
                  <w:szCs w:val="18"/>
                  <w:b w:val="1"/>
                  <w:bCs w:val="1"/>
                  <w:color w:val="0000FF"/>
                  <w:w w:val="97"/>
                </w:rPr>
                <w:t>Part II. Other Information</w:t>
              </w:r>
            </w:hyperlink>
          </w:p>
        </w:tc>
        <w:tc>
          <w:tcPr>
            <w:tcW w:w="12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6">
              <w:r>
                <w:rPr>
                  <w:rFonts w:ascii="Arial" w:cs="Arial" w:eastAsia="Arial" w:hAnsi="Arial"/>
                  <w:sz w:val="18"/>
                  <w:szCs w:val="18"/>
                  <w:color w:val="0000FF"/>
                  <w:w w:val="88"/>
                </w:rPr>
                <w:t>Legal Proceedings</w:t>
              </w:r>
            </w:hyperlink>
          </w:p>
        </w:tc>
        <w:tc>
          <w:tcPr>
            <w:tcW w:w="2440" w:type="dxa"/>
            <w:vAlign w:val="bottom"/>
            <w:gridSpan w:val="6"/>
          </w:tcPr>
          <w:p>
            <w:pPr>
              <w:spacing w:after="0"/>
              <w:rPr>
                <w:sz w:val="18"/>
                <w:szCs w:val="18"/>
                <w:color w:val="auto"/>
              </w:rPr>
            </w:pPr>
          </w:p>
        </w:tc>
        <w:tc>
          <w:tcPr>
            <w:tcW w:w="2060" w:type="dxa"/>
            <w:vAlign w:val="bottom"/>
            <w:tcBorders>
              <w:top w:val="single" w:sz="8" w:color="0000FF"/>
            </w:tcBorders>
            <w:gridSpan w:val="4"/>
          </w:tcPr>
          <w:p>
            <w:pPr>
              <w:spacing w:after="0"/>
              <w:rPr>
                <w:sz w:val="18"/>
                <w:szCs w:val="18"/>
                <w:color w:val="auto"/>
              </w:rPr>
            </w:pPr>
          </w:p>
        </w:tc>
        <w:tc>
          <w:tcPr>
            <w:tcW w:w="3220" w:type="dxa"/>
            <w:vAlign w:val="bottom"/>
            <w:gridSpan w:val="7"/>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60" w:type="dxa"/>
            <w:vAlign w:val="bottom"/>
            <w:gridSpan w:val="2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12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20" w:type="dxa"/>
            <w:vAlign w:val="bottom"/>
            <w:gridSpan w:val="1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60" w:type="dxa"/>
            <w:vAlign w:val="bottom"/>
            <w:gridSpan w:val="2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Unregistered Sales of Equity Securities and Use of Proceeds</w:t>
              </w:r>
            </w:hyperlink>
          </w:p>
        </w:tc>
        <w:tc>
          <w:tcPr>
            <w:tcW w:w="12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Defaults Upon Senior Securities</w:t>
              </w:r>
            </w:hyperlink>
          </w:p>
        </w:tc>
        <w:tc>
          <w:tcPr>
            <w:tcW w:w="4720" w:type="dxa"/>
            <w:vAlign w:val="bottom"/>
            <w:gridSpan w:val="10"/>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Mine Safety Disclosures</w:t>
              </w:r>
            </w:hyperlink>
          </w:p>
        </w:tc>
        <w:tc>
          <w:tcPr>
            <w:tcW w:w="6740" w:type="dxa"/>
            <w:vAlign w:val="bottom"/>
            <w:gridSpan w:val="14"/>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3"/>
          </w:tcPr>
          <w:p>
            <w:pPr>
              <w:spacing w:after="0"/>
              <w:rPr>
                <w:sz w:val="18"/>
                <w:szCs w:val="18"/>
                <w:color w:val="auto"/>
              </w:rPr>
            </w:pPr>
          </w:p>
        </w:tc>
        <w:tc>
          <w:tcPr>
            <w:tcW w:w="7300" w:type="dxa"/>
            <w:vAlign w:val="bottom"/>
            <w:gridSpan w:val="15"/>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Exhibits</w:t>
              </w:r>
            </w:hyperlink>
          </w:p>
        </w:tc>
        <w:tc>
          <w:tcPr>
            <w:tcW w:w="8460" w:type="dxa"/>
            <w:vAlign w:val="bottom"/>
            <w:gridSpan w:val="21"/>
          </w:tcPr>
          <w:p>
            <w:pPr>
              <w:spacing w:after="0"/>
              <w:rPr>
                <w:sz w:val="18"/>
                <w:szCs w:val="18"/>
                <w:color w:val="auto"/>
              </w:rPr>
            </w:pPr>
          </w:p>
        </w:tc>
        <w:tc>
          <w:tcPr>
            <w:tcW w:w="12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60" w:type="dxa"/>
            <w:vAlign w:val="bottom"/>
            <w:gridSpan w:val="2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Signatures</w:t>
              </w:r>
            </w:hyperlink>
          </w:p>
        </w:tc>
        <w:tc>
          <w:tcPr>
            <w:tcW w:w="126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1040"/>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60" w:firstLine="891"/>
        <w:spacing w:after="0" w:line="255" w:lineRule="auto"/>
        <w:rPr>
          <w:sz w:val="20"/>
          <w:szCs w:val="20"/>
          <w:color w:val="auto"/>
        </w:rPr>
      </w:pPr>
      <w:r>
        <w:rPr>
          <w:rFonts w:ascii="Arial" w:cs="Arial" w:eastAsia="Arial" w:hAnsi="Arial"/>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92" w:lineRule="exact"/>
        <w:rPr>
          <w:sz w:val="20"/>
          <w:szCs w:val="20"/>
          <w:color w:val="auto"/>
        </w:rPr>
      </w:pPr>
    </w:p>
    <w:p>
      <w:pPr>
        <w:ind w:right="20" w:firstLine="891"/>
        <w:spacing w:after="0" w:line="279"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71" w:lineRule="exact"/>
        <w:rPr>
          <w:sz w:val="20"/>
          <w:szCs w:val="20"/>
          <w:color w:val="auto"/>
        </w:rPr>
      </w:pPr>
    </w:p>
    <w:p>
      <w:pPr>
        <w:ind w:right="420" w:firstLine="891"/>
        <w:spacing w:after="0" w:line="263"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84"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As used in this report, the terms “nCino,” the “Company,” “Registrant,” “we,” “us,” and “our” mean nCino, Inc. and its subsidiaries unless the context indicates otherwise.</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January 31, 2021</w:t>
            </w:r>
          </w:p>
        </w:tc>
        <w:tc>
          <w:tcPr>
            <w:tcW w:w="160" w:type="dxa"/>
            <w:vAlign w:val="bottom"/>
          </w:tcPr>
          <w:p>
            <w:pPr>
              <w:spacing w:after="0"/>
              <w:rPr>
                <w:sz w:val="16"/>
                <w:szCs w:val="16"/>
                <w:color w:val="auto"/>
              </w:rPr>
            </w:pPr>
          </w:p>
        </w:tc>
        <w:tc>
          <w:tcPr>
            <w:tcW w:w="1140" w:type="dxa"/>
            <w:vAlign w:val="bottom"/>
          </w:tcPr>
          <w:p>
            <w:pPr>
              <w:jc w:val="right"/>
              <w:ind w:right="131"/>
              <w:spacing w:after="0"/>
              <w:rPr>
                <w:sz w:val="20"/>
                <w:szCs w:val="20"/>
                <w:color w:val="auto"/>
              </w:rPr>
            </w:pPr>
            <w:r>
              <w:rPr>
                <w:rFonts w:ascii="Arial" w:cs="Arial" w:eastAsia="Arial" w:hAnsi="Arial"/>
                <w:sz w:val="14"/>
                <w:szCs w:val="14"/>
                <w:b w:val="1"/>
                <w:bCs w:val="1"/>
                <w:color w:val="auto"/>
                <w:w w:val="99"/>
              </w:rPr>
              <w:t>April 30, 2021</w:t>
            </w:r>
          </w:p>
        </w:tc>
        <w:tc>
          <w:tcPr>
            <w:tcW w:w="0" w:type="dxa"/>
            <w:vAlign w:val="bottom"/>
          </w:tcPr>
          <w:p>
            <w:pPr>
              <w:spacing w:after="0"/>
              <w:rPr>
                <w:sz w:val="1"/>
                <w:szCs w:val="1"/>
                <w:color w:val="auto"/>
              </w:rPr>
            </w:pPr>
          </w:p>
        </w:tc>
      </w:tr>
      <w:tr>
        <w:trPr>
          <w:trHeight w:val="188"/>
        </w:trPr>
        <w:tc>
          <w:tcPr>
            <w:tcW w:w="8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w w:val="95"/>
              </w:rPr>
              <w:t>Cash and cash equivalents (VIE: $7,425 and $6,254 at January 31, 2021 and April 30, 2021, respectively)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371,425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386,515</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4"/>
              </w:rPr>
              <w:t>Accounts receivable, less allowance for doubtful accounts of $88 and $52 at January 31, 2021 and April 30,</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55,517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56,228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2021, respectively</w:t>
            </w: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Costs capitalized to obtain revenue contracts, current portion,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9,404</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442,231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457,180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35,058</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Operating lease right-of-use assets, net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Costs capitalized to obtain revenue contracts,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57,325</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22,352</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563,401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593,765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related parties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Accrued commissions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Construction liability, current portion</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Other accrued expenses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rent,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89,141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110,071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Financing obligation,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Operating lease liabilities, current portion</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23"/>
        </w:trPr>
        <w:tc>
          <w:tcPr>
            <w:tcW w:w="856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138,769</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Deferred rent,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revenue,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Financing obligation,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15,847</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Construction liability, noncurrent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134,431</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165,659</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(Notes 8, 12, and 13)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Redeemable non-controlling interest (Note 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460"/>
              <w:spacing w:after="0" w:line="176" w:lineRule="exact"/>
              <w:rPr>
                <w:sz w:val="20"/>
                <w:szCs w:val="20"/>
                <w:color w:val="auto"/>
              </w:rPr>
            </w:pPr>
            <w:r>
              <w:rPr>
                <w:rFonts w:ascii="Arial" w:cs="Arial" w:eastAsia="Arial" w:hAnsi="Arial"/>
                <w:sz w:val="18"/>
                <w:szCs w:val="18"/>
                <w:color w:val="auto"/>
                <w:w w:val="96"/>
              </w:rPr>
              <w:t>Preferred stock, $0.001 par value; 10,000,000 shares authorized, and none issued and outstanding as of</w:t>
            </w:r>
          </w:p>
        </w:tc>
        <w:tc>
          <w:tcPr>
            <w:tcW w:w="120" w:type="dxa"/>
            <w:vAlign w:val="bottom"/>
          </w:tcPr>
          <w:p>
            <w:pPr>
              <w:spacing w:after="0"/>
              <w:rPr>
                <w:sz w:val="15"/>
                <w:szCs w:val="15"/>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tcPr>
          <w:p>
            <w:pPr>
              <w:ind w:left="620"/>
              <w:spacing w:after="0"/>
              <w:rPr>
                <w:sz w:val="20"/>
                <w:szCs w:val="20"/>
                <w:color w:val="auto"/>
              </w:rPr>
            </w:pPr>
            <w:r>
              <w:rPr>
                <w:rFonts w:ascii="Arial" w:cs="Arial" w:eastAsia="Arial" w:hAnsi="Arial"/>
                <w:sz w:val="18"/>
                <w:szCs w:val="18"/>
                <w:color w:val="auto"/>
              </w:rPr>
              <w:t>January 31, 2021 and April 30, 2021</w:t>
            </w: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2"/>
              </w:rPr>
              <w:t>Common stock, $0.0005 par value; 500,000,000 shares authorized as of January 31, 2021 and April 30, 2021;</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w w:val="97"/>
              </w:rPr>
              <w:t>93,643,759 and 95,318,070 shares issued and outstanding as of January 31, 2021 and April 30, 2021,</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585,956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601,034</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(161,064)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(176,202)</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425,179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425,041</w:t>
            </w:r>
          </w:p>
        </w:tc>
        <w:tc>
          <w:tcPr>
            <w:tcW w:w="0" w:type="dxa"/>
            <w:vAlign w:val="bottom"/>
          </w:tcPr>
          <w:p>
            <w:pPr>
              <w:spacing w:after="0"/>
              <w:rPr>
                <w:sz w:val="1"/>
                <w:szCs w:val="1"/>
                <w:color w:val="auto"/>
              </w:rPr>
            </w:pPr>
          </w:p>
        </w:tc>
      </w:tr>
      <w:tr>
        <w:trPr>
          <w:trHeight w:val="223"/>
        </w:trPr>
        <w:tc>
          <w:tcPr>
            <w:tcW w:w="8560" w:type="dxa"/>
            <w:vAlign w:val="bottom"/>
          </w:tcPr>
          <w:p>
            <w:pPr>
              <w:ind w:left="106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563,401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593,765</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Subscription (related parties $2,439 and $0, respectively)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34,831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51,033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23"/>
        </w:trPr>
        <w:tc>
          <w:tcPr>
            <w:tcW w:w="828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62,355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line="230" w:lineRule="exact"/>
              <w:rPr>
                <w:sz w:val="20"/>
                <w:szCs w:val="20"/>
                <w:color w:val="auto"/>
              </w:rPr>
            </w:pPr>
            <w:r>
              <w:rPr>
                <w:rFonts w:ascii="Arial" w:cs="Arial" w:eastAsia="Arial" w:hAnsi="Arial"/>
                <w:sz w:val="18"/>
                <w:szCs w:val="18"/>
                <w:color w:val="auto"/>
              </w:rPr>
              <w:t>Subscription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(related party $7,510 and $10,569, respectively)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14,946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Professional services</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26,299</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36,056</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18,425</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17,425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(15,474)</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8280" w:type="dxa"/>
            <w:vAlign w:val="bottom"/>
          </w:tcPr>
          <w:p>
            <w:pPr>
              <w:ind w:left="1020"/>
              <w:spacing w:after="0"/>
              <w:rPr>
                <w:sz w:val="20"/>
                <w:szCs w:val="20"/>
                <w:color w:val="auto"/>
              </w:rPr>
            </w:pPr>
            <w:r>
              <w:rPr>
                <w:rFonts w:ascii="Arial" w:cs="Arial" w:eastAsia="Arial" w:hAnsi="Arial"/>
                <w:sz w:val="18"/>
                <w:szCs w:val="18"/>
                <w:b w:val="1"/>
                <w:bCs w:val="1"/>
                <w:color w:val="auto"/>
              </w:rPr>
              <w:t>Loss before income tax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(15,418)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8280" w:type="dxa"/>
            <w:vAlign w:val="bottom"/>
          </w:tcPr>
          <w:p>
            <w:pPr>
              <w:ind w:left="1020"/>
              <w:spacing w:after="0"/>
              <w:rPr>
                <w:sz w:val="20"/>
                <w:szCs w:val="20"/>
                <w:color w:val="auto"/>
              </w:rPr>
            </w:pPr>
            <w:r>
              <w:rPr>
                <w:rFonts w:ascii="Arial" w:cs="Arial" w:eastAsia="Arial" w:hAnsi="Arial"/>
                <w:sz w:val="18"/>
                <w:szCs w:val="18"/>
                <w:b w:val="1"/>
                <w:bCs w:val="1"/>
                <w:color w:val="auto"/>
              </w:rPr>
              <w:t>Net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(15,605)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redeemable non-controlling interest (Note 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Adjustment attributable to redeemable non-controlling interest (Note 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Net loss attributable to nCino,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share attributable to nCino, Inc.: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81,560,762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94,402,265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stock-based compensation expense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8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Cost of professional services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3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r>
      <w:tr>
        <w:trPr>
          <w:trHeight w:val="22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(15,605)</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3"/>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Other comprehensive income (loss)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Comprehensive loss</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(4,520)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(15,813)</w:t>
            </w:r>
          </w:p>
        </w:tc>
      </w:tr>
      <w:tr>
        <w:trPr>
          <w:trHeight w:val="20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Less comprehensive loss attributable to redeemable non-controlling interest:</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attributable to redeemable non-controlling interest</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29"/>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50"/>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Comprehensive loss attributable to redeemable non-controlling interest</w:t>
            </w:r>
          </w:p>
        </w:tc>
        <w:tc>
          <w:tcPr>
            <w:tcW w:w="8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23"/>
        </w:trPr>
        <w:tc>
          <w:tcPr>
            <w:tcW w:w="8320" w:type="dxa"/>
            <w:vAlign w:val="bottom"/>
          </w:tcPr>
          <w:p>
            <w:pPr>
              <w:ind w:left="680"/>
              <w:spacing w:after="0"/>
              <w:rPr>
                <w:sz w:val="20"/>
                <w:szCs w:val="20"/>
                <w:color w:val="auto"/>
              </w:rPr>
            </w:pPr>
            <w:r>
              <w:rPr>
                <w:rFonts w:ascii="Arial" w:cs="Arial" w:eastAsia="Arial" w:hAnsi="Arial"/>
                <w:sz w:val="18"/>
                <w:szCs w:val="18"/>
                <w:b w:val="1"/>
                <w:bCs w:val="1"/>
                <w:color w:val="auto"/>
              </w:rPr>
              <w:t>Comprehensive loss attributable to nCino, Inc.</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(4,435)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(15,217)</w:t>
            </w:r>
          </w:p>
        </w:tc>
      </w:tr>
      <w:tr>
        <w:trPr>
          <w:trHeight w:val="20"/>
        </w:trPr>
        <w:tc>
          <w:tcPr>
            <w:tcW w:w="8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4"/>
              </w:rPr>
              <w:t>Three Months Ended April 30, 2020</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480" w:type="dxa"/>
            <w:vAlign w:val="bottom"/>
            <w:gridSpan w:val="3"/>
          </w:tcPr>
          <w:p>
            <w:pPr>
              <w:jc w:val="center"/>
              <w:ind w:left="148"/>
              <w:spacing w:after="0"/>
              <w:rPr>
                <w:sz w:val="20"/>
                <w:szCs w:val="20"/>
                <w:color w:val="auto"/>
              </w:rPr>
            </w:pPr>
            <w:r>
              <w:rPr>
                <w:rFonts w:ascii="Arial" w:cs="Arial" w:eastAsia="Arial" w:hAnsi="Arial"/>
                <w:sz w:val="14"/>
                <w:szCs w:val="14"/>
                <w:color w:val="auto"/>
                <w:w w:val="95"/>
              </w:rPr>
              <w:t>Voting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center"/>
              <w:ind w:left="128"/>
              <w:spacing w:after="0"/>
              <w:rPr>
                <w:sz w:val="20"/>
                <w:szCs w:val="20"/>
                <w:color w:val="auto"/>
              </w:rPr>
            </w:pPr>
            <w:r>
              <w:rPr>
                <w:rFonts w:ascii="Arial" w:cs="Arial" w:eastAsia="Arial" w:hAnsi="Arial"/>
                <w:sz w:val="14"/>
                <w:szCs w:val="14"/>
                <w:color w:val="auto"/>
              </w:rPr>
              <w:t>Non-voting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rPr>
              <w:t>Additional</w:t>
            </w:r>
          </w:p>
        </w:tc>
        <w:tc>
          <w:tcPr>
            <w:tcW w:w="300" w:type="dxa"/>
            <w:vAlign w:val="bottom"/>
          </w:tcPr>
          <w:p>
            <w:pPr>
              <w:spacing w:after="0"/>
              <w:rPr>
                <w:sz w:val="14"/>
                <w:szCs w:val="14"/>
                <w:color w:val="auto"/>
              </w:rPr>
            </w:pPr>
          </w:p>
        </w:tc>
        <w:tc>
          <w:tcPr>
            <w:tcW w:w="720" w:type="dxa"/>
            <w:vAlign w:val="bottom"/>
            <w:gridSpan w:val="2"/>
            <w:vMerge w:val="restart"/>
          </w:tcPr>
          <w:p>
            <w:pPr>
              <w:jc w:val="center"/>
              <w:ind w:right="400"/>
              <w:spacing w:after="0"/>
              <w:rPr>
                <w:sz w:val="20"/>
                <w:szCs w:val="20"/>
                <w:color w:val="auto"/>
              </w:rPr>
            </w:pPr>
            <w:r>
              <w:rPr>
                <w:rFonts w:ascii="Arial" w:cs="Arial" w:eastAsia="Arial" w:hAnsi="Arial"/>
                <w:sz w:val="14"/>
                <w:szCs w:val="14"/>
                <w:color w:val="auto"/>
                <w:w w:val="91"/>
              </w:rPr>
              <w:t>Other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480" w:type="dxa"/>
            <w:vAlign w:val="bottom"/>
            <w:gridSpan w:val="3"/>
            <w:vMerge w:val="restart"/>
          </w:tcPr>
          <w:p>
            <w:pPr>
              <w:jc w:val="center"/>
              <w:ind w:left="148"/>
              <w:spacing w:after="0"/>
              <w:rPr>
                <w:sz w:val="20"/>
                <w:szCs w:val="20"/>
                <w:color w:val="auto"/>
              </w:rPr>
            </w:pPr>
            <w:r>
              <w:rPr>
                <w:rFonts w:ascii="Arial" w:cs="Arial" w:eastAsia="Arial" w:hAnsi="Arial"/>
                <w:sz w:val="14"/>
                <w:szCs w:val="14"/>
                <w:color w:val="auto"/>
                <w:w w:val="94"/>
              </w:rPr>
              <w:t>Common Stock</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3"/>
            <w:vMerge w:val="restart"/>
          </w:tcPr>
          <w:p>
            <w:pPr>
              <w:jc w:val="center"/>
              <w:ind w:left="148"/>
              <w:spacing w:after="0"/>
              <w:rPr>
                <w:sz w:val="20"/>
                <w:szCs w:val="20"/>
                <w:color w:val="auto"/>
              </w:rPr>
            </w:pPr>
            <w:r>
              <w:rPr>
                <w:rFonts w:ascii="Arial" w:cs="Arial" w:eastAsia="Arial" w:hAnsi="Arial"/>
                <w:sz w:val="14"/>
                <w:szCs w:val="14"/>
                <w:color w:val="auto"/>
                <w:w w:val="94"/>
              </w:rPr>
              <w:t>Common Stock</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780" w:type="dxa"/>
            <w:vAlign w:val="bottom"/>
          </w:tcPr>
          <w:p>
            <w:pPr>
              <w:spacing w:after="0"/>
              <w:rPr>
                <w:sz w:val="9"/>
                <w:szCs w:val="9"/>
                <w:color w:val="auto"/>
              </w:rPr>
            </w:pPr>
          </w:p>
        </w:tc>
        <w:tc>
          <w:tcPr>
            <w:tcW w:w="148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Borders>
              <w:bottom w:val="single" w:sz="8" w:color="auto"/>
            </w:tcBorders>
            <w:gridSpan w:val="3"/>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5" w:lineRule="exact"/>
              <w:rPr>
                <w:sz w:val="20"/>
                <w:szCs w:val="20"/>
                <w:color w:val="auto"/>
              </w:rPr>
            </w:pPr>
            <w:r>
              <w:rPr>
                <w:rFonts w:ascii="Arial" w:cs="Arial" w:eastAsia="Arial" w:hAnsi="Arial"/>
                <w:sz w:val="12"/>
                <w:szCs w:val="12"/>
                <w:color w:val="auto"/>
              </w:rPr>
              <w:t>Paid-in</w:t>
            </w:r>
          </w:p>
        </w:tc>
        <w:tc>
          <w:tcPr>
            <w:tcW w:w="1020" w:type="dxa"/>
            <w:vAlign w:val="bottom"/>
            <w:gridSpan w:val="3"/>
          </w:tcPr>
          <w:p>
            <w:pPr>
              <w:ind w:left="20"/>
              <w:spacing w:after="0" w:line="105" w:lineRule="exact"/>
              <w:rPr>
                <w:sz w:val="20"/>
                <w:szCs w:val="20"/>
                <w:color w:val="auto"/>
              </w:rPr>
            </w:pPr>
            <w:r>
              <w:rPr>
                <w:rFonts w:ascii="Arial" w:cs="Arial" w:eastAsia="Arial" w:hAnsi="Arial"/>
                <w:sz w:val="12"/>
                <w:szCs w:val="12"/>
                <w:color w:val="auto"/>
              </w:rPr>
              <w:t>Comprehensive</w:t>
            </w:r>
          </w:p>
        </w:tc>
        <w:tc>
          <w:tcPr>
            <w:tcW w:w="1000" w:type="dxa"/>
            <w:vAlign w:val="bottom"/>
            <w:gridSpan w:val="3"/>
          </w:tcPr>
          <w:p>
            <w:pPr>
              <w:jc w:val="center"/>
              <w:ind w:right="80"/>
              <w:spacing w:after="0" w:line="105" w:lineRule="exact"/>
              <w:rPr>
                <w:sz w:val="20"/>
                <w:szCs w:val="20"/>
                <w:color w:val="auto"/>
              </w:rPr>
            </w:pPr>
            <w:r>
              <w:rPr>
                <w:rFonts w:ascii="Arial" w:cs="Arial" w:eastAsia="Arial" w:hAnsi="Arial"/>
                <w:sz w:val="12"/>
                <w:szCs w:val="12"/>
                <w:color w:val="auto"/>
              </w:rPr>
              <w:t>Accumulated</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auto"/>
              </w:rPr>
              <w:t>Shares</w:t>
            </w:r>
          </w:p>
        </w:tc>
        <w:tc>
          <w:tcPr>
            <w:tcW w:w="680" w:type="dxa"/>
            <w:vAlign w:val="bottom"/>
          </w:tcPr>
          <w:p>
            <w:pPr>
              <w:ind w:left="220"/>
              <w:spacing w:after="0"/>
              <w:rPr>
                <w:sz w:val="20"/>
                <w:szCs w:val="20"/>
                <w:color w:val="auto"/>
              </w:rPr>
            </w:pPr>
            <w:r>
              <w:rPr>
                <w:rFonts w:ascii="Arial" w:cs="Arial" w:eastAsia="Arial" w:hAnsi="Arial"/>
                <w:sz w:val="14"/>
                <w:szCs w:val="14"/>
                <w:color w:val="auto"/>
                <w:w w:val="91"/>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color w:val="auto"/>
              </w:rPr>
              <w:t>Shares</w:t>
            </w:r>
          </w:p>
        </w:tc>
        <w:tc>
          <w:tcPr>
            <w:tcW w:w="680" w:type="dxa"/>
            <w:vAlign w:val="bottom"/>
          </w:tcPr>
          <w:p>
            <w:pPr>
              <w:ind w:left="200"/>
              <w:spacing w:after="0"/>
              <w:rPr>
                <w:sz w:val="20"/>
                <w:szCs w:val="20"/>
                <w:color w:val="auto"/>
              </w:rPr>
            </w:pPr>
            <w:r>
              <w:rPr>
                <w:rFonts w:ascii="Arial" w:cs="Arial" w:eastAsia="Arial" w:hAnsi="Arial"/>
                <w:sz w:val="14"/>
                <w:szCs w:val="14"/>
                <w:color w:val="auto"/>
                <w:w w:val="95"/>
              </w:rPr>
              <w:t>Amount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Capital</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color w:val="auto"/>
                <w:w w:val="94"/>
              </w:rPr>
              <w:t>Income (Loss)</w:t>
            </w:r>
          </w:p>
        </w:tc>
        <w:tc>
          <w:tcPr>
            <w:tcW w:w="18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rPr>
              <w:t>Deficit</w:t>
            </w:r>
          </w:p>
        </w:tc>
        <w:tc>
          <w:tcPr>
            <w:tcW w:w="20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75,596,007</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ind w:right="4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38</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5,931,319</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ind w:right="508"/>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288,564</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(120,924)</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167,273</w:t>
            </w:r>
          </w:p>
        </w:tc>
        <w:tc>
          <w:tcPr>
            <w:tcW w:w="0" w:type="dxa"/>
            <w:vAlign w:val="bottom"/>
          </w:tcPr>
          <w:p>
            <w:pPr>
              <w:spacing w:after="0"/>
              <w:rPr>
                <w:sz w:val="1"/>
                <w:szCs w:val="1"/>
                <w:color w:val="auto"/>
              </w:rPr>
            </w:pPr>
          </w:p>
        </w:tc>
      </w:tr>
      <w:tr>
        <w:trPr>
          <w:trHeight w:val="186"/>
        </w:trPr>
        <w:tc>
          <w:tcPr>
            <w:tcW w:w="378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720" w:type="dxa"/>
            <w:vAlign w:val="bottom"/>
          </w:tcPr>
          <w:p>
            <w:pPr>
              <w:jc w:val="right"/>
              <w:spacing w:after="0"/>
              <w:rPr>
                <w:sz w:val="20"/>
                <w:szCs w:val="20"/>
                <w:color w:val="auto"/>
              </w:rPr>
            </w:pPr>
            <w:r>
              <w:rPr>
                <w:rFonts w:ascii="Arial" w:cs="Arial" w:eastAsia="Arial" w:hAnsi="Arial"/>
                <w:sz w:val="14"/>
                <w:szCs w:val="14"/>
                <w:color w:val="auto"/>
              </w:rPr>
              <w:t>55,801</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186"/>
        </w:trPr>
        <w:tc>
          <w:tcPr>
            <w:tcW w:w="3780" w:type="dxa"/>
            <w:vAlign w:val="bottom"/>
          </w:tcPr>
          <w:p>
            <w:pPr>
              <w:ind w:left="360"/>
              <w:spacing w:after="0"/>
              <w:rPr>
                <w:sz w:val="20"/>
                <w:szCs w:val="20"/>
                <w:color w:val="auto"/>
              </w:rPr>
            </w:pPr>
            <w:r>
              <w:rPr>
                <w:rFonts w:ascii="Arial" w:cs="Arial" w:eastAsia="Arial" w:hAnsi="Arial"/>
                <w:sz w:val="14"/>
                <w:szCs w:val="14"/>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38"/>
        </w:trPr>
        <w:tc>
          <w:tcPr>
            <w:tcW w:w="378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w w:val="94"/>
              </w:rPr>
              <w:t>Net loss attributable to nCino, Inc., including adjustment to</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(4,769)</w:t>
            </w:r>
          </w:p>
        </w:tc>
        <w:tc>
          <w:tcPr>
            <w:tcW w:w="0" w:type="dxa"/>
            <w:vAlign w:val="bottom"/>
          </w:tcPr>
          <w:p>
            <w:pPr>
              <w:spacing w:after="0"/>
              <w:rPr>
                <w:sz w:val="1"/>
                <w:szCs w:val="1"/>
                <w:color w:val="auto"/>
              </w:rPr>
            </w:pPr>
          </w:p>
        </w:tc>
      </w:tr>
      <w:tr>
        <w:trPr>
          <w:trHeight w:val="186"/>
        </w:trPr>
        <w:tc>
          <w:tcPr>
            <w:tcW w:w="37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redeemable non-controlling interest</w:t>
            </w:r>
          </w:p>
        </w:tc>
        <w:tc>
          <w:tcPr>
            <w:tcW w:w="800" w:type="dxa"/>
            <w:vAlign w:val="bottom"/>
            <w:gridSpan w:val="2"/>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Balance, April 30,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75,651,808</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center"/>
              <w:ind w:right="4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38</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9"/>
              </w:rPr>
              <w:t>5,931,319</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center"/>
              <w:ind w:right="508"/>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289,624</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(125,580)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163,898</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April 30,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120" w:type="dxa"/>
            <w:vAlign w:val="bottom"/>
            <w:gridSpan w:val="3"/>
            <w:vMerge w:val="restart"/>
          </w:tcPr>
          <w:p>
            <w:pPr>
              <w:jc w:val="right"/>
              <w:ind w:right="408"/>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8"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860" w:type="dxa"/>
            <w:vAlign w:val="bottom"/>
          </w:tcPr>
          <w:p>
            <w:pPr>
              <w:spacing w:after="0"/>
              <w:rPr>
                <w:sz w:val="8"/>
                <w:szCs w:val="8"/>
                <w:color w:val="auto"/>
              </w:rPr>
            </w:pPr>
          </w:p>
        </w:tc>
        <w:tc>
          <w:tcPr>
            <w:tcW w:w="212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jc w:val="center"/>
              <w:ind w:right="160"/>
              <w:spacing w:after="0" w:line="102" w:lineRule="exact"/>
              <w:rPr>
                <w:sz w:val="20"/>
                <w:szCs w:val="20"/>
                <w:color w:val="auto"/>
              </w:rPr>
            </w:pPr>
            <w:r>
              <w:rPr>
                <w:rFonts w:ascii="Arial" w:cs="Arial" w:eastAsia="Arial" w:hAnsi="Arial"/>
                <w:sz w:val="11"/>
                <w:szCs w:val="11"/>
                <w:color w:val="auto"/>
              </w:rPr>
              <w:t>Paid-in</w:t>
            </w:r>
          </w:p>
        </w:tc>
        <w:tc>
          <w:tcPr>
            <w:tcW w:w="120" w:type="dxa"/>
            <w:vAlign w:val="bottom"/>
          </w:tcPr>
          <w:p>
            <w:pPr>
              <w:spacing w:after="0"/>
              <w:rPr>
                <w:sz w:val="8"/>
                <w:szCs w:val="8"/>
                <w:color w:val="auto"/>
              </w:rPr>
            </w:pPr>
          </w:p>
        </w:tc>
        <w:tc>
          <w:tcPr>
            <w:tcW w:w="1140" w:type="dxa"/>
            <w:vAlign w:val="bottom"/>
            <w:gridSpan w:val="2"/>
          </w:tcPr>
          <w:p>
            <w:pPr>
              <w:jc w:val="center"/>
              <w:ind w:right="240"/>
              <w:spacing w:after="0" w:line="102" w:lineRule="exact"/>
              <w:rPr>
                <w:sz w:val="20"/>
                <w:szCs w:val="20"/>
                <w:color w:val="auto"/>
              </w:rPr>
            </w:pPr>
            <w:r>
              <w:rPr>
                <w:rFonts w:ascii="Arial" w:cs="Arial" w:eastAsia="Arial" w:hAnsi="Arial"/>
                <w:sz w:val="11"/>
                <w:szCs w:val="11"/>
                <w:color w:val="auto"/>
              </w:rPr>
              <w:t>Comprehensive</w:t>
            </w:r>
          </w:p>
        </w:tc>
        <w:tc>
          <w:tcPr>
            <w:tcW w:w="140" w:type="dxa"/>
            <w:vAlign w:val="bottom"/>
          </w:tcPr>
          <w:p>
            <w:pPr>
              <w:spacing w:after="0"/>
              <w:rPr>
                <w:sz w:val="8"/>
                <w:szCs w:val="8"/>
                <w:color w:val="auto"/>
              </w:rPr>
            </w:pPr>
          </w:p>
        </w:tc>
        <w:tc>
          <w:tcPr>
            <w:tcW w:w="1100" w:type="dxa"/>
            <w:vAlign w:val="bottom"/>
            <w:gridSpan w:val="2"/>
          </w:tcPr>
          <w:p>
            <w:pPr>
              <w:ind w:left="60"/>
              <w:spacing w:after="0" w:line="102" w:lineRule="exact"/>
              <w:rPr>
                <w:sz w:val="20"/>
                <w:szCs w:val="20"/>
                <w:color w:val="auto"/>
              </w:rPr>
            </w:pPr>
            <w:r>
              <w:rPr>
                <w:rFonts w:ascii="Arial" w:cs="Arial" w:eastAsia="Arial" w:hAnsi="Arial"/>
                <w:sz w:val="11"/>
                <w:szCs w:val="11"/>
                <w:color w:val="auto"/>
              </w:rPr>
              <w:t>Accumulated</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Deficit</w:t>
            </w:r>
          </w:p>
        </w:tc>
        <w:tc>
          <w:tcPr>
            <w:tcW w:w="26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93,643,759</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585,956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(161,064)</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425,179</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4"/>
                <w:szCs w:val="14"/>
                <w:color w:val="auto"/>
              </w:rPr>
              <w:t>1,651,343</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7,885</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issuance upon vesting of restricted stock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22,968</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6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7,064</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5"/>
        </w:trPr>
        <w:tc>
          <w:tcPr>
            <w:tcW w:w="3860" w:type="dxa"/>
            <w:vAlign w:val="bottom"/>
          </w:tcPr>
          <w:p>
            <w:pPr>
              <w:ind w:left="360"/>
              <w:spacing w:after="0" w:line="135" w:lineRule="exact"/>
              <w:rPr>
                <w:sz w:val="20"/>
                <w:szCs w:val="20"/>
                <w:color w:val="auto"/>
              </w:rPr>
            </w:pPr>
            <w:r>
              <w:rPr>
                <w:rFonts w:ascii="Arial" w:cs="Arial" w:eastAsia="Arial" w:hAnsi="Arial"/>
                <w:sz w:val="14"/>
                <w:szCs w:val="14"/>
                <w:color w:val="auto"/>
                <w:w w:val="96"/>
              </w:rPr>
              <w:t>Net loss attributable to nCino, Inc., including adjustment to</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(15,138)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(15,008)</w:t>
            </w:r>
          </w:p>
        </w:tc>
        <w:tc>
          <w:tcPr>
            <w:tcW w:w="0" w:type="dxa"/>
            <w:vAlign w:val="bottom"/>
          </w:tcPr>
          <w:p>
            <w:pPr>
              <w:spacing w:after="0"/>
              <w:rPr>
                <w:sz w:val="1"/>
                <w:szCs w:val="1"/>
                <w:color w:val="auto"/>
              </w:rPr>
            </w:pPr>
          </w:p>
        </w:tc>
      </w:tr>
      <w:tr>
        <w:trPr>
          <w:trHeight w:val="186"/>
        </w:trPr>
        <w:tc>
          <w:tcPr>
            <w:tcW w:w="3860" w:type="dxa"/>
            <w:vAlign w:val="bottom"/>
          </w:tcPr>
          <w:p>
            <w:pPr>
              <w:ind w:left="520"/>
              <w:spacing w:after="0"/>
              <w:rPr>
                <w:sz w:val="20"/>
                <w:szCs w:val="20"/>
                <w:color w:val="auto"/>
              </w:rPr>
            </w:pPr>
            <w:r>
              <w:rPr>
                <w:rFonts w:ascii="Arial" w:cs="Arial" w:eastAsia="Arial" w:hAnsi="Arial"/>
                <w:sz w:val="14"/>
                <w:szCs w:val="14"/>
                <w:color w:val="auto"/>
              </w:rPr>
              <w:t>redeemable non-controlling interest</w:t>
            </w:r>
          </w:p>
        </w:tc>
        <w:tc>
          <w:tcPr>
            <w:tcW w:w="124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April 30,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95,318,070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601,034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425,041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84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420" w:type="dxa"/>
            <w:vAlign w:val="bottom"/>
          </w:tcPr>
          <w:p>
            <w:pPr>
              <w:ind w:left="360"/>
              <w:spacing w:after="0"/>
              <w:rPr>
                <w:sz w:val="20"/>
                <w:szCs w:val="20"/>
                <w:color w:val="auto"/>
              </w:rPr>
            </w:pPr>
            <w:r>
              <w:rPr>
                <w:rFonts w:ascii="Arial" w:cs="Arial" w:eastAsia="Arial" w:hAnsi="Arial"/>
                <w:sz w:val="16"/>
                <w:szCs w:val="16"/>
                <w:color w:val="auto"/>
              </w:rPr>
              <w:t>Net loss attributable to nCino, Inc.</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4"/>
              </w:rPr>
              <w:t>(4,769)</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(15,008)</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and adjustment attributable to redeemable non-controlling interest</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20"/>
        </w:trPr>
        <w:tc>
          <w:tcPr>
            <w:tcW w:w="8420" w:type="dxa"/>
            <w:vAlign w:val="bottom"/>
          </w:tcPr>
          <w:p>
            <w:pPr>
              <w:ind w:left="360"/>
              <w:spacing w:after="0"/>
              <w:rPr>
                <w:sz w:val="20"/>
                <w:szCs w:val="20"/>
                <w:color w:val="auto"/>
              </w:rPr>
            </w:pPr>
            <w:r>
              <w:rPr>
                <w:rFonts w:ascii="Arial" w:cs="Arial" w:eastAsia="Arial" w:hAnsi="Arial"/>
                <w:sz w:val="16"/>
                <w:szCs w:val="16"/>
                <w:color w:val="auto"/>
              </w:rPr>
              <w:t>Net loss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(4,832)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(15,605)</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operating lease costs</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Amortization of costs capitalized to obtain revenue contracts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7,064</w:t>
            </w:r>
          </w:p>
        </w:tc>
        <w:tc>
          <w:tcPr>
            <w:tcW w:w="0" w:type="dxa"/>
            <w:vAlign w:val="bottom"/>
          </w:tcPr>
          <w:p>
            <w:pPr>
              <w:spacing w:after="0"/>
              <w:rPr>
                <w:sz w:val="1"/>
                <w:szCs w:val="1"/>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Provision for (recovery of) bad debt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Net foreign currency gains</w:t>
            </w:r>
          </w:p>
        </w:tc>
        <w:tc>
          <w:tcPr>
            <w:tcW w:w="8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 operating assets and liabilities: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Accounts receivable</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(9,463)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46"/>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receivable, related parties</w:t>
            </w: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420" w:type="dxa"/>
            <w:vAlign w:val="bottom"/>
          </w:tcPr>
          <w:p>
            <w:pPr>
              <w:ind w:left="1000"/>
              <w:spacing w:after="0"/>
              <w:rPr>
                <w:sz w:val="20"/>
                <w:szCs w:val="20"/>
                <w:color w:val="auto"/>
              </w:rPr>
            </w:pPr>
            <w:r>
              <w:rPr>
                <w:rFonts w:ascii="Arial" w:cs="Arial" w:eastAsia="Arial" w:hAnsi="Arial"/>
                <w:sz w:val="16"/>
                <w:szCs w:val="16"/>
                <w:color w:val="auto"/>
              </w:rPr>
              <w:t>Costs capitalized to obtain revenue contracts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(2,436)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46"/>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Prepaid expenses and other assets</w:t>
            </w: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Accounts payable and accrued expenses and other liabilities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(4,774)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(6,029)</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payable, related parties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Deferred rent</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Deferred revenue</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19,411</w:t>
            </w:r>
          </w:p>
        </w:tc>
        <w:tc>
          <w:tcPr>
            <w:tcW w:w="0" w:type="dxa"/>
            <w:vAlign w:val="bottom"/>
          </w:tcPr>
          <w:p>
            <w:pPr>
              <w:spacing w:after="0"/>
              <w:rPr>
                <w:sz w:val="1"/>
                <w:szCs w:val="1"/>
                <w:color w:val="auto"/>
              </w:rPr>
            </w:pP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Deferred revenue, related parties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Operating lease liabilities</w:t>
            </w:r>
          </w:p>
        </w:tc>
        <w:tc>
          <w:tcPr>
            <w:tcW w:w="8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06"/>
        </w:trPr>
        <w:tc>
          <w:tcPr>
            <w:tcW w:w="8420" w:type="dxa"/>
            <w:vAlign w:val="bottom"/>
            <w:tcBorders>
              <w:bottom w:val="single" w:sz="8" w:color="CCEEFF"/>
            </w:tcBorders>
          </w:tcPr>
          <w:p>
            <w:pPr>
              <w:ind w:left="1320"/>
              <w:spacing w:after="0"/>
              <w:rPr>
                <w:sz w:val="20"/>
                <w:szCs w:val="20"/>
                <w:color w:val="auto"/>
              </w:rPr>
            </w:pPr>
            <w:r>
              <w:rPr>
                <w:rFonts w:ascii="Arial" w:cs="Arial" w:eastAsia="Arial" w:hAnsi="Arial"/>
                <w:sz w:val="16"/>
                <w:szCs w:val="16"/>
                <w:b w:val="1"/>
                <w:bCs w:val="1"/>
                <w:color w:val="auto"/>
              </w:rPr>
              <w:t>Net cash provided by operating activities</w:t>
            </w:r>
          </w:p>
        </w:tc>
        <w:tc>
          <w:tcPr>
            <w:tcW w:w="8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8,429</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7,558</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flows from investing activities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4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Purchases of property and equipment</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(1,075)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1320"/>
              <w:spacing w:after="0"/>
              <w:rPr>
                <w:sz w:val="20"/>
                <w:szCs w:val="20"/>
                <w:color w:val="auto"/>
              </w:rPr>
            </w:pPr>
            <w:r>
              <w:rPr>
                <w:rFonts w:ascii="Arial" w:cs="Arial" w:eastAsia="Arial" w:hAnsi="Arial"/>
                <w:sz w:val="16"/>
                <w:szCs w:val="16"/>
                <w:b w:val="1"/>
                <w:bCs w:val="1"/>
                <w:color w:val="auto"/>
              </w:rPr>
              <w:t>Net cash used in investing activities</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Cash flows from financing activities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Payments of deferred costs</w:t>
            </w: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Exercise of stock options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7,885</w:t>
            </w:r>
          </w:p>
        </w:tc>
        <w:tc>
          <w:tcPr>
            <w:tcW w:w="0" w:type="dxa"/>
            <w:vAlign w:val="bottom"/>
          </w:tcPr>
          <w:p>
            <w:pPr>
              <w:spacing w:after="0"/>
              <w:rPr>
                <w:sz w:val="1"/>
                <w:szCs w:val="1"/>
                <w:color w:val="auto"/>
              </w:rPr>
            </w:pPr>
          </w:p>
        </w:tc>
      </w:tr>
      <w:tr>
        <w:trPr>
          <w:trHeight w:val="246"/>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Principal payments on financing obligation</w:t>
            </w:r>
          </w:p>
        </w:tc>
        <w:tc>
          <w:tcPr>
            <w:tcW w:w="8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20"/>
        </w:trPr>
        <w:tc>
          <w:tcPr>
            <w:tcW w:w="8420" w:type="dxa"/>
            <w:vAlign w:val="bottom"/>
            <w:tcBorders>
              <w:bottom w:val="single" w:sz="8" w:color="CCEEFF"/>
            </w:tcBorders>
          </w:tcPr>
          <w:p>
            <w:pPr>
              <w:ind w:left="13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8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7,806</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foreign currency exchange rate changes on cash, cash equivalents, and restricted cash</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20"/>
        </w:trPr>
        <w:tc>
          <w:tcPr>
            <w:tcW w:w="8420" w:type="dxa"/>
            <w:vAlign w:val="bottom"/>
          </w:tcPr>
          <w:p>
            <w:pPr>
              <w:ind w:left="1320"/>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15,279</w:t>
            </w:r>
          </w:p>
        </w:tc>
        <w:tc>
          <w:tcPr>
            <w:tcW w:w="0" w:type="dxa"/>
            <w:vAlign w:val="bottom"/>
          </w:tcPr>
          <w:p>
            <w:pPr>
              <w:spacing w:after="0"/>
              <w:rPr>
                <w:sz w:val="1"/>
                <w:szCs w:val="1"/>
                <w:color w:val="auto"/>
              </w:rPr>
            </w:pPr>
          </w:p>
        </w:tc>
      </w:tr>
      <w:tr>
        <w:trPr>
          <w:trHeight w:val="243"/>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cash equivalents, and restricted cash, beginning of period</w:t>
            </w:r>
          </w:p>
        </w:tc>
        <w:tc>
          <w:tcPr>
            <w:tcW w:w="8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91,184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371,425</w:t>
            </w:r>
          </w:p>
        </w:tc>
        <w:tc>
          <w:tcPr>
            <w:tcW w:w="0" w:type="dxa"/>
            <w:vAlign w:val="bottom"/>
          </w:tcPr>
          <w:p>
            <w:pPr>
              <w:spacing w:after="0"/>
              <w:rPr>
                <w:sz w:val="1"/>
                <w:szCs w:val="1"/>
                <w:color w:val="auto"/>
              </w:rPr>
            </w:pP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99,038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386,704</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420" w:type="dxa"/>
            <w:vAlign w:val="bottom"/>
          </w:tcPr>
          <w:p>
            <w:pPr>
              <w:ind w:left="36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and cash equivalents</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99,038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386,515</w:t>
            </w:r>
          </w:p>
        </w:tc>
        <w:tc>
          <w:tcPr>
            <w:tcW w:w="0" w:type="dxa"/>
            <w:vAlign w:val="bottom"/>
          </w:tcPr>
          <w:p>
            <w:pPr>
              <w:spacing w:after="0"/>
              <w:rPr>
                <w:sz w:val="1"/>
                <w:szCs w:val="1"/>
                <w:color w:val="auto"/>
              </w:rPr>
            </w:pP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Restricted cash included in other long-term assets</w:t>
            </w:r>
          </w:p>
        </w:tc>
        <w:tc>
          <w:tcPr>
            <w:tcW w:w="8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38"/>
        </w:trPr>
        <w:tc>
          <w:tcPr>
            <w:tcW w:w="84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cash, cash equivalents, and restricted cash, end of period</w:t>
            </w:r>
          </w:p>
        </w:tc>
        <w:tc>
          <w:tcPr>
            <w:tcW w:w="840" w:type="dxa"/>
            <w:vAlign w:val="bottom"/>
            <w:tcBorders>
              <w:top w:val="single" w:sz="8" w:color="auto"/>
              <w:bottom w:val="single" w:sz="8" w:color="auto"/>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99,038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386,704</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680"/>
              <w:spacing w:after="0"/>
              <w:rPr>
                <w:sz w:val="20"/>
                <w:szCs w:val="20"/>
                <w:color w:val="auto"/>
              </w:rPr>
            </w:pPr>
            <w:r>
              <w:rPr>
                <w:rFonts w:ascii="Arial" w:cs="Arial" w:eastAsia="Arial" w:hAnsi="Arial"/>
                <w:sz w:val="16"/>
                <w:szCs w:val="16"/>
                <w:color w:val="auto"/>
              </w:rPr>
              <w:t>Cash paid during the year for taxes, net of refunds</w:t>
            </w: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paid during the year for interest</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4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8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Purchase of property and equipment, accrued but not paid</w:t>
            </w: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5,863</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5" w:lineRule="exact"/>
        <w:rPr>
          <w:sz w:val="20"/>
          <w:szCs w:val="20"/>
          <w:color w:val="auto"/>
        </w:rPr>
      </w:pPr>
    </w:p>
    <w:p>
      <w:pPr>
        <w:ind w:right="140" w:firstLine="891"/>
        <w:spacing w:after="0" w:line="26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nCino, Inc. is a software-as-a-service ("SaaS") company that provides software applications to financial institutions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streamline employee and client interactions. The Company is headquartered in Wilmington, North Carolina and has offices in Salt Lake City, Utah; London, United Kingdom; Sydney, Australia; Melbourne, Australia; Toronto, Canada; and Tokyo, Japan.</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right="40" w:firstLine="891"/>
        <w:spacing w:after="0" w:line="289" w:lineRule="auto"/>
        <w:rPr>
          <w:sz w:val="20"/>
          <w:szCs w:val="20"/>
          <w:color w:val="auto"/>
        </w:rPr>
      </w:pPr>
      <w:r>
        <w:rPr>
          <w:rFonts w:ascii="Arial" w:cs="Arial" w:eastAsia="Arial" w:hAnsi="Arial"/>
          <w:sz w:val="16"/>
          <w:szCs w:val="16"/>
          <w:b w:val="1"/>
          <w:bCs w:val="1"/>
          <w:color w:val="auto"/>
        </w:rPr>
        <w:t xml:space="preserve">Principles of Consolidation and Basis of Presentation: </w:t>
      </w:r>
      <w:r>
        <w:rPr>
          <w:rFonts w:ascii="Arial" w:cs="Arial" w:eastAsia="Arial" w:hAnsi="Arial"/>
          <w:sz w:val="16"/>
          <w:szCs w:val="16"/>
          <w:color w:val="auto"/>
        </w:rPr>
        <w:t>The accompanying unaudited condensed consolidated financial statements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prepared in accordance with generally accepted accounting principles in the United States of America (“GAAP”) as set forth in the Financial Accounting Standards Board (“FASB”) Accounting Standards Codification ("ASC") and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2021 filed with the SEC on March 31, 2021. The unaudited condensed consolidated financial statements include accounts of the Company’s wholly-owned subsidiaries, as well as a variable interest entity in which the Company is the primary beneficiary. All intercompany accounts and transactions are eliminated. See the variable interest entity section below and Note 3 "Variable Interest Entity and Redeemable Non-Controlling Interest" for additional information regarding the Company’s variable interest entity.</w:t>
      </w:r>
    </w:p>
    <w:p>
      <w:pPr>
        <w:spacing w:after="0" w:line="165"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4" w:lineRule="exact"/>
        <w:rPr>
          <w:sz w:val="20"/>
          <w:szCs w:val="20"/>
          <w:color w:val="auto"/>
        </w:rPr>
      </w:pPr>
    </w:p>
    <w:p>
      <w:pPr>
        <w:ind w:right="200" w:firstLine="891"/>
        <w:spacing w:after="0" w:line="286"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year 2022 or any future period.</w:t>
      </w:r>
    </w:p>
    <w:p>
      <w:pPr>
        <w:spacing w:after="0" w:line="165" w:lineRule="exact"/>
        <w:rPr>
          <w:sz w:val="20"/>
          <w:szCs w:val="20"/>
          <w:color w:val="auto"/>
        </w:rPr>
      </w:pPr>
    </w:p>
    <w:p>
      <w:pPr>
        <w:ind w:right="180" w:firstLine="891"/>
        <w:spacing w:after="0" w:line="342" w:lineRule="auto"/>
        <w:rPr>
          <w:sz w:val="20"/>
          <w:szCs w:val="20"/>
          <w:color w:val="auto"/>
        </w:rPr>
      </w:pPr>
      <w:r>
        <w:rPr>
          <w:rFonts w:ascii="Arial" w:cs="Arial" w:eastAsia="Arial" w:hAnsi="Arial"/>
          <w:sz w:val="16"/>
          <w:szCs w:val="16"/>
          <w:color w:val="auto"/>
        </w:rPr>
        <w:t>In March 2021, a Certificate of Amendment was filed with the state of Delaware for Visible Equity, LLC ("Visible Equity"), a wholly-owned subsidiary of the Company, to change its name to nCino Portfolio Analytics, LLC. The state of Delaware effected the name change in April 2021.</w:t>
      </w:r>
    </w:p>
    <w:p>
      <w:pPr>
        <w:spacing w:after="0" w:line="124" w:lineRule="exact"/>
        <w:rPr>
          <w:sz w:val="20"/>
          <w:szCs w:val="20"/>
          <w:color w:val="auto"/>
        </w:rPr>
      </w:pPr>
    </w:p>
    <w:p>
      <w:pPr>
        <w:ind w:right="380" w:firstLine="891"/>
        <w:spacing w:after="0" w:line="286" w:lineRule="auto"/>
        <w:rPr>
          <w:sz w:val="20"/>
          <w:szCs w:val="20"/>
          <w:color w:val="auto"/>
        </w:rPr>
      </w:pPr>
      <w:r>
        <w:rPr>
          <w:rFonts w:ascii="Arial" w:cs="Arial" w:eastAsia="Arial" w:hAnsi="Arial"/>
          <w:sz w:val="17"/>
          <w:szCs w:val="17"/>
          <w:color w:val="auto"/>
        </w:rPr>
        <w:t xml:space="preserve">Effective February 1, 2021, the Company adopted the requirement of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using the alternative transition method. Under this method, the Company is not required to restate or disclose the effects of applying this ASU for comparative periods. See the Recently Adopted Accounting Guidance section for the adoption of ASU 2016-02, </w:t>
      </w:r>
      <w:r>
        <w:rPr>
          <w:rFonts w:ascii="Arial" w:cs="Arial" w:eastAsia="Arial" w:hAnsi="Arial"/>
          <w:sz w:val="17"/>
          <w:szCs w:val="17"/>
          <w:i w:val="1"/>
          <w:iCs w:val="1"/>
          <w:color w:val="auto"/>
        </w:rPr>
        <w:t>Leases (Topic 842).</w:t>
      </w:r>
    </w:p>
    <w:p>
      <w:pPr>
        <w:spacing w:after="0" w:line="161" w:lineRule="exact"/>
        <w:rPr>
          <w:sz w:val="20"/>
          <w:szCs w:val="20"/>
          <w:color w:val="auto"/>
        </w:rPr>
      </w:pPr>
    </w:p>
    <w:p>
      <w:pPr>
        <w:ind w:firstLine="891"/>
        <w:spacing w:after="0" w:line="254" w:lineRule="auto"/>
        <w:rPr>
          <w:sz w:val="20"/>
          <w:szCs w:val="20"/>
          <w:color w:val="auto"/>
        </w:rPr>
      </w:pPr>
      <w:r>
        <w:rPr>
          <w:rFonts w:ascii="Arial" w:cs="Arial" w:eastAsia="Arial" w:hAnsi="Arial"/>
          <w:sz w:val="18"/>
          <w:szCs w:val="18"/>
          <w:b w:val="1"/>
          <w:bCs w:val="1"/>
          <w:color w:val="auto"/>
        </w:rPr>
        <w:t xml:space="preserve">Variable Interest Entity: </w:t>
      </w:r>
      <w:r>
        <w:rPr>
          <w:rFonts w:ascii="Arial" w:cs="Arial" w:eastAsia="Arial" w:hAnsi="Arial"/>
          <w:sz w:val="18"/>
          <w:szCs w:val="18"/>
          <w:color w:val="auto"/>
        </w:rPr>
        <w:t>The Company holds an interest in a Japanese company (“nCino K.K.”) that is considered a variable interest entity</w:t>
      </w:r>
      <w:r>
        <w:rPr>
          <w:rFonts w:ascii="Arial" w:cs="Arial" w:eastAsia="Arial" w:hAnsi="Arial"/>
          <w:sz w:val="18"/>
          <w:szCs w:val="18"/>
          <w:b w:val="1"/>
          <w:bCs w:val="1"/>
          <w:color w:val="auto"/>
        </w:rPr>
        <w:t xml:space="preserve"> </w:t>
      </w:r>
      <w:r>
        <w:rPr>
          <w:rFonts w:ascii="Arial" w:cs="Arial" w:eastAsia="Arial" w:hAnsi="Arial"/>
          <w:sz w:val="18"/>
          <w:szCs w:val="18"/>
          <w:color w:val="auto"/>
        </w:rPr>
        <w:t>("VIE").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significant to the Company’s consolidated financial statements except for cash which is reflected on the unaudited condensed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Note 3 "Variable Interest Entity and Redeemable Non-Controlling Interest" for additional information regarding the Company’s variable interest.</w:t>
      </w:r>
    </w:p>
    <w:p>
      <w:pPr>
        <w:spacing w:after="0" w:line="218" w:lineRule="exact"/>
        <w:rPr>
          <w:sz w:val="20"/>
          <w:szCs w:val="20"/>
          <w:color w:val="auto"/>
        </w:rPr>
      </w:pPr>
    </w:p>
    <w:p>
      <w:pPr>
        <w:ind w:right="20" w:firstLine="891"/>
        <w:spacing w:after="0" w:line="271" w:lineRule="auto"/>
        <w:rPr>
          <w:sz w:val="20"/>
          <w:szCs w:val="20"/>
          <w:color w:val="auto"/>
        </w:rPr>
      </w:pPr>
      <w:r>
        <w:rPr>
          <w:rFonts w:ascii="Arial" w:cs="Arial" w:eastAsia="Arial" w:hAnsi="Arial"/>
          <w:sz w:val="17"/>
          <w:szCs w:val="17"/>
          <w:b w:val="1"/>
          <w:bCs w:val="1"/>
          <w:color w:val="auto"/>
        </w:rPr>
        <w:t xml:space="preserve">Redeemable Non-Controlling Interest: </w:t>
      </w:r>
      <w:r>
        <w:rPr>
          <w:rFonts w:ascii="Arial" w:cs="Arial" w:eastAsia="Arial" w:hAnsi="Arial"/>
          <w:sz w:val="17"/>
          <w:szCs w:val="17"/>
          <w:color w:val="auto"/>
        </w:rPr>
        <w:t>Redeemable non-controlling interest relates to minority investors of nCino K.K. An agreement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74"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unaudited condensed consolidated financial statements in conformity with GAAP requires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73" w:lineRule="exact"/>
        <w:rPr>
          <w:sz w:val="20"/>
          <w:szCs w:val="20"/>
          <w:color w:val="auto"/>
        </w:rPr>
      </w:pPr>
    </w:p>
    <w:p>
      <w:pPr>
        <w:ind w:right="100" w:firstLine="891"/>
        <w:spacing w:after="0" w:line="261" w:lineRule="auto"/>
        <w:rPr>
          <w:sz w:val="20"/>
          <w:szCs w:val="20"/>
          <w:color w:val="auto"/>
        </w:rPr>
      </w:pPr>
      <w:r>
        <w:rPr>
          <w:rFonts w:ascii="Arial" w:cs="Arial" w:eastAsia="Arial" w:hAnsi="Arial"/>
          <w:sz w:val="18"/>
          <w:szCs w:val="18"/>
          <w:b w:val="1"/>
          <w:bCs w:val="1"/>
          <w:color w:val="auto"/>
        </w:rPr>
        <w:t xml:space="preserve">Concentration of Credit Risk and Significant Customers: </w:t>
      </w:r>
      <w:r>
        <w:rPr>
          <w:rFonts w:ascii="Arial" w:cs="Arial" w:eastAsia="Arial" w:hAnsi="Arial"/>
          <w:sz w:val="18"/>
          <w:szCs w:val="18"/>
          <w:color w:val="auto"/>
        </w:rPr>
        <w:t>The Company’s financial instruments that are exposed to concentration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risk consist primarily of cash, cash equivalents and restricted cash. The Company’s cash and cash equivalents exceeded the Federal deposit insurance limit at January 31, 2021 and April 30, 2021. The Company maintains its cash, cash equivalents and restricted cash with high-credit-quality financial institutions.</w:t>
      </w:r>
    </w:p>
    <w:p>
      <w:pPr>
        <w:spacing w:after="0" w:line="184" w:lineRule="exact"/>
        <w:rPr>
          <w:sz w:val="20"/>
          <w:szCs w:val="20"/>
          <w:color w:val="auto"/>
        </w:rPr>
      </w:pPr>
    </w:p>
    <w:p>
      <w:pPr>
        <w:ind w:right="120" w:firstLine="891"/>
        <w:spacing w:after="0" w:line="263" w:lineRule="auto"/>
        <w:rPr>
          <w:sz w:val="20"/>
          <w:szCs w:val="20"/>
          <w:color w:val="auto"/>
        </w:rPr>
      </w:pPr>
      <w:r>
        <w:rPr>
          <w:rFonts w:ascii="Arial" w:cs="Arial" w:eastAsia="Arial" w:hAnsi="Arial"/>
          <w:sz w:val="18"/>
          <w:szCs w:val="18"/>
          <w:color w:val="auto"/>
        </w:rPr>
        <w:t>As of January 31, 2021 and April 30, 2021, no individual customer represented more than 10% of accounts receivable and one customer represented 18%, respectively. For the three months ended April 30, 2020 and 2021, no individual customer represented more than 10% of the Company’s total revenues.</w:t>
      </w:r>
    </w:p>
    <w:p>
      <w:pPr>
        <w:spacing w:after="0" w:line="180" w:lineRule="exact"/>
        <w:rPr>
          <w:sz w:val="20"/>
          <w:szCs w:val="20"/>
          <w:color w:val="auto"/>
        </w:rPr>
      </w:pPr>
    </w:p>
    <w:p>
      <w:pPr>
        <w:ind w:right="80" w:firstLine="891"/>
        <w:spacing w:after="0" w:line="28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consists of deposits held as collateral for the Company's bank guarantees issued in place of security deposits</w:t>
      </w:r>
      <w:r>
        <w:rPr>
          <w:rFonts w:ascii="Arial" w:cs="Arial" w:eastAsia="Arial" w:hAnsi="Arial"/>
          <w:sz w:val="18"/>
          <w:szCs w:val="18"/>
          <w:b w:val="1"/>
          <w:bCs w:val="1"/>
          <w:color w:val="auto"/>
        </w:rPr>
        <w:t xml:space="preserve"> </w:t>
      </w:r>
      <w:r>
        <w:rPr>
          <w:rFonts w:ascii="Arial" w:cs="Arial" w:eastAsia="Arial" w:hAnsi="Arial"/>
          <w:sz w:val="18"/>
          <w:szCs w:val="18"/>
          <w:color w:val="auto"/>
        </w:rPr>
        <w:t>for certain property leases.</w:t>
      </w:r>
    </w:p>
    <w:p>
      <w:pPr>
        <w:spacing w:after="0" w:line="162" w:lineRule="exact"/>
        <w:rPr>
          <w:sz w:val="20"/>
          <w:szCs w:val="20"/>
          <w:color w:val="auto"/>
        </w:rPr>
      </w:pPr>
    </w:p>
    <w:p>
      <w:pPr>
        <w:ind w:right="60" w:firstLine="891"/>
        <w:spacing w:after="0" w:line="270" w:lineRule="auto"/>
        <w:rPr>
          <w:sz w:val="20"/>
          <w:szCs w:val="20"/>
          <w:color w:val="auto"/>
        </w:rPr>
      </w:pPr>
      <w:r>
        <w:rPr>
          <w:rFonts w:ascii="Arial" w:cs="Arial" w:eastAsia="Arial" w:hAnsi="Arial"/>
          <w:sz w:val="17"/>
          <w:szCs w:val="17"/>
          <w:b w:val="1"/>
          <w:bCs w:val="1"/>
          <w:color w:val="auto"/>
        </w:rPr>
        <w:t xml:space="preserve">Accounts Receivable and Allowances: </w:t>
      </w:r>
      <w:r>
        <w:rPr>
          <w:rFonts w:ascii="Arial" w:cs="Arial" w:eastAsia="Arial" w:hAnsi="Arial"/>
          <w:sz w:val="17"/>
          <w:szCs w:val="17"/>
          <w:color w:val="auto"/>
        </w:rPr>
        <w:t>A receivable is recorded when an unconditional right to invoice and receive payment exists, such that</w:t>
      </w:r>
      <w:r>
        <w:rPr>
          <w:rFonts w:ascii="Arial" w:cs="Arial" w:eastAsia="Arial" w:hAnsi="Arial"/>
          <w:sz w:val="17"/>
          <w:szCs w:val="17"/>
          <w:b w:val="1"/>
          <w:bCs w:val="1"/>
          <w:color w:val="auto"/>
        </w:rPr>
        <w:t xml:space="preserve"> </w:t>
      </w:r>
      <w:r>
        <w:rPr>
          <w:rFonts w:ascii="Arial" w:cs="Arial" w:eastAsia="Arial" w:hAnsi="Arial"/>
          <w:sz w:val="17"/>
          <w:szCs w:val="17"/>
          <w:color w:val="auto"/>
        </w:rPr>
        <w:t>only the passage of time is required before payment of consideration is due. Timing of revenue recognition may differ from the timing of invoicing to customers. Certain performance obligations may require payment before delivery of the service to the customer.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891"/>
        <w:spacing w:after="0" w:line="259" w:lineRule="auto"/>
        <w:rPr>
          <w:sz w:val="20"/>
          <w:szCs w:val="20"/>
          <w:color w:val="auto"/>
        </w:rPr>
      </w:pPr>
      <w:r>
        <w:rPr>
          <w:rFonts w:ascii="Arial" w:cs="Arial" w:eastAsia="Arial" w:hAnsi="Arial"/>
          <w:sz w:val="18"/>
          <w:szCs w:val="18"/>
          <w:color w:val="auto"/>
        </w:rPr>
        <w:t xml:space="preserve">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 See the Recently Adopted Accounting Guidance section for the adoption of ASU 2016-13,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Measurement of Credit Losses on Financial Instruments.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Borders>
              <w:bottom w:val="single" w:sz="8" w:color="auto"/>
            </w:tcBorders>
          </w:tcPr>
          <w:p>
            <w:pPr>
              <w:spacing w:after="0"/>
              <w:rPr>
                <w:sz w:val="16"/>
                <w:szCs w:val="16"/>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88</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Charged to (recovery of) bad debt expense</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center"/>
              <w:ind w:left="10"/>
              <w:spacing w:after="0"/>
              <w:rPr>
                <w:sz w:val="20"/>
                <w:szCs w:val="20"/>
                <w:color w:val="auto"/>
              </w:rPr>
            </w:pPr>
            <w:r>
              <w:rPr>
                <w:rFonts w:ascii="Arial" w:cs="Arial" w:eastAsia="Arial" w:hAnsi="Arial"/>
                <w:sz w:val="18"/>
                <w:szCs w:val="18"/>
                <w:color w:val="auto"/>
                <w:w w:val="93"/>
              </w:rPr>
              <w:t>(12)</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Charged to (recovery of) deferred revenue</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(24)</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52</w:t>
            </w:r>
          </w:p>
        </w:tc>
      </w:tr>
      <w:tr>
        <w:trPr>
          <w:trHeight w:val="20"/>
        </w:trPr>
        <w:tc>
          <w:tcPr>
            <w:tcW w:w="8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891"/>
        <w:spacing w:after="0" w:line="258"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determines if an arrangement is or contains a lease at inception date based on whether there is an identified asset and</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the Company controls the use of the identified asset throughout the period of use. The Company determines the classification of the lease, whether operating or financing, at the lease commencement date, which is the date the leased assets are made available for use. The Company accounts for lease and non-lease components as a single lease component for its facilities and equipment leases. The Company did not have any finance leases as of April 30, 2021.</w:t>
      </w:r>
    </w:p>
    <w:p>
      <w:pPr>
        <w:spacing w:after="0" w:line="187" w:lineRule="exact"/>
        <w:rPr>
          <w:sz w:val="20"/>
          <w:szCs w:val="20"/>
          <w:color w:val="auto"/>
        </w:rPr>
      </w:pPr>
    </w:p>
    <w:p>
      <w:pPr>
        <w:ind w:right="80" w:firstLine="891"/>
        <w:spacing w:after="0" w:line="255" w:lineRule="auto"/>
        <w:rPr>
          <w:sz w:val="20"/>
          <w:szCs w:val="20"/>
          <w:color w:val="auto"/>
        </w:rPr>
      </w:pPr>
      <w:r>
        <w:rPr>
          <w:rFonts w:ascii="Arial" w:cs="Arial" w:eastAsia="Arial" w:hAnsi="Arial"/>
          <w:sz w:val="18"/>
          <w:szCs w:val="18"/>
          <w:color w:val="auto"/>
        </w:rPr>
        <w:t>Operating lease right-of-use ("ROU") assets and lease liabilities are recognized at the commencement date based on the present value of lease payments over the lease term. The lease term reflects the noncancelable period of the lease together with options to extend or terminate the lease when it is reasonably certain the Company will exercise such option. Variable costs, such as common area maintenance costs, are not included in the measurement of the ROU assets and lease liabilities, but are expensed as incurred. The Company's leases do not generally provide an implicit rate; therefore, the Company uses its incremental borrowing rate in determining the present value of the lease payments. Lease expense is recognized on a straight-line basis over the lease term.</w:t>
      </w:r>
    </w:p>
    <w:p>
      <w:pPr>
        <w:spacing w:after="0" w:line="192"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The Company does not recognize ROU assets or lease liabilities for leases with a term of 12 months or less. Lease expense for such leases is recognized on a straight-line basis over the lease term.</w:t>
      </w:r>
    </w:p>
    <w:p>
      <w:pPr>
        <w:spacing w:after="0" w:line="166" w:lineRule="exact"/>
        <w:rPr>
          <w:sz w:val="20"/>
          <w:szCs w:val="20"/>
          <w:color w:val="auto"/>
        </w:rPr>
      </w:pPr>
    </w:p>
    <w:p>
      <w:pPr>
        <w:ind w:right="100" w:firstLine="891"/>
        <w:spacing w:after="0" w:line="271" w:lineRule="auto"/>
        <w:rPr>
          <w:sz w:val="20"/>
          <w:szCs w:val="20"/>
          <w:color w:val="auto"/>
        </w:rPr>
      </w:pPr>
      <w:r>
        <w:rPr>
          <w:rFonts w:ascii="Arial" w:cs="Arial" w:eastAsia="Arial" w:hAnsi="Arial"/>
          <w:sz w:val="17"/>
          <w:szCs w:val="17"/>
          <w:b w:val="1"/>
          <w:bCs w:val="1"/>
          <w:color w:val="auto"/>
        </w:rPr>
        <w:t xml:space="preserve">Recently Adopted Accounting Guidance: </w:t>
      </w:r>
      <w:r>
        <w:rPr>
          <w:rFonts w:ascii="Arial" w:cs="Arial" w:eastAsia="Arial" w:hAnsi="Arial"/>
          <w:sz w:val="17"/>
          <w:szCs w:val="17"/>
          <w:color w:val="auto"/>
        </w:rPr>
        <w:t>In February 2016, the FASB issued ASU 2016-02,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b w:val="1"/>
          <w:bCs w:val="1"/>
          <w:color w:val="auto"/>
        </w:rPr>
        <w:t xml:space="preserve"> </w:t>
      </w:r>
      <w:r>
        <w:rPr>
          <w:rFonts w:ascii="Arial" w:cs="Arial" w:eastAsia="Arial" w:hAnsi="Arial"/>
          <w:sz w:val="17"/>
          <w:szCs w:val="17"/>
          <w:color w:val="auto"/>
        </w:rPr>
        <w:t>The standard will affect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Form 10-K for the fiscal year ended January 31, 2022. The Company adopted this ASU effective February 1, 2021.</w:t>
      </w:r>
    </w:p>
    <w:p>
      <w:pPr>
        <w:spacing w:after="0" w:line="178" w:lineRule="exact"/>
        <w:rPr>
          <w:sz w:val="20"/>
          <w:szCs w:val="20"/>
          <w:color w:val="auto"/>
        </w:rPr>
      </w:pPr>
    </w:p>
    <w:p>
      <w:pPr>
        <w:ind w:right="220" w:firstLine="891"/>
        <w:spacing w:after="0" w:line="257" w:lineRule="auto"/>
        <w:rPr>
          <w:sz w:val="20"/>
          <w:szCs w:val="20"/>
          <w:color w:val="auto"/>
        </w:rPr>
      </w:pPr>
      <w:r>
        <w:rPr>
          <w:rFonts w:ascii="Arial" w:cs="Arial" w:eastAsia="Arial" w:hAnsi="Arial"/>
          <w:sz w:val="18"/>
          <w:szCs w:val="18"/>
          <w:color w:val="auto"/>
        </w:rPr>
        <w:t>The Company used the alternative transition method in which the Company is not required to restate or disclose the effects of applying this ASU for comparative periods. The Company elected the package of practical expedients which permits the Company to not reassess prior conclusions pertaining to lease identification, lease classification, and initial direct costs. The Company did not elect the use-of-hindsight or the practical expedient pertaining to land easements. In addition, the Company elected ongoing practical expedients including the option to not recognize right-of-use assets and lease liabilities for short term</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leases (leases with an original term of twelve months or less). The Company also elected the practical expedient to not separate lease and non-lease components for our facilities and equipment leases.</w:t>
      </w:r>
    </w:p>
    <w:p>
      <w:pPr>
        <w:spacing w:after="0" w:line="170" w:lineRule="exact"/>
        <w:rPr>
          <w:sz w:val="20"/>
          <w:szCs w:val="20"/>
          <w:color w:val="auto"/>
        </w:rPr>
      </w:pPr>
    </w:p>
    <w:p>
      <w:pPr>
        <w:ind w:right="60" w:firstLine="891"/>
        <w:spacing w:after="0" w:line="301" w:lineRule="auto"/>
        <w:rPr>
          <w:sz w:val="20"/>
          <w:szCs w:val="20"/>
          <w:color w:val="auto"/>
        </w:rPr>
      </w:pPr>
      <w:r>
        <w:rPr>
          <w:rFonts w:ascii="Arial" w:cs="Arial" w:eastAsia="Arial" w:hAnsi="Arial"/>
          <w:sz w:val="16"/>
          <w:szCs w:val="16"/>
          <w:color w:val="auto"/>
        </w:rPr>
        <w:t>The adoption of this ASU resulted in the recognition of operating right-of-use assets of $10.5 million and lease liabilities of $12.2 million, and the derecognition of deferred rent on the Company's unaudited condensed consolidated balance sheet on February 1, 2021. The adoption of this ASU did not impact the Company's unaudited condensed consolidated statements of operations, comprehensive loss or the unaudited condensed consolidated statements of cash flows. Upon the adoption of this ASU there was no change to the accounting for the Company's financing obligation.</w:t>
      </w:r>
    </w:p>
    <w:p>
      <w:pPr>
        <w:spacing w:after="0" w:line="157" w:lineRule="exact"/>
        <w:rPr>
          <w:sz w:val="20"/>
          <w:szCs w:val="20"/>
          <w:color w:val="auto"/>
        </w:rPr>
      </w:pPr>
    </w:p>
    <w:p>
      <w:pPr>
        <w:ind w:right="20" w:firstLine="891"/>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 which changes the impairment model for most financial assets. The new model uses a forward-looking expected loss method, which will 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If the Company were to cease meeting the emerging growth company criteria during the fiscal year ending January 31, 2022, this ASU would be effective for the Company for its Annual Report on Form 10-K for the fiscal year ended January 31, 2022. The Company adopted this ASU effective February 1, 2021. The adoption of this ASU, which impacted the Company's allowance for doubtful accounts, did not have a material impact on the Company's unaudited condensed consolidated financial statements.</w:t>
      </w:r>
    </w:p>
    <w:p>
      <w:pPr>
        <w:spacing w:after="0" w:line="178"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color w:val="auto"/>
        </w:rPr>
        <w:t>In December 2019, the FASB issued ASU 2019-12, I</w:t>
      </w:r>
      <w:r>
        <w:rPr>
          <w:rFonts w:ascii="Arial" w:cs="Arial" w:eastAsia="Arial" w:hAnsi="Arial"/>
          <w:sz w:val="17"/>
          <w:szCs w:val="17"/>
          <w:i w:val="1"/>
          <w:iCs w:val="1"/>
          <w:color w:val="auto"/>
        </w:rPr>
        <w:t>ncome Taxes (Topic 740): Simplifying the Accounting for Income Taxes</w:t>
      </w:r>
      <w:r>
        <w:rPr>
          <w:rFonts w:ascii="Arial" w:cs="Arial" w:eastAsia="Arial" w:hAnsi="Arial"/>
          <w:sz w:val="17"/>
          <w:szCs w:val="17"/>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If the Company were to cease meeting the emerging growth company criteria during the fiscal year ending January 31, 2022, this ASU would be effective for the Company for its Annual Report on Form 10-K for the fiscal year ended January 31, 2022. The Company adopted this ASU effective February 1, 2021. The adoption of this ASU did not have a material impact on the Company’s unaudited condensed consolidated financial statements.</w:t>
      </w:r>
    </w:p>
    <w:p>
      <w:pPr>
        <w:spacing w:after="0" w:line="178" w:lineRule="exact"/>
        <w:rPr>
          <w:sz w:val="20"/>
          <w:szCs w:val="20"/>
          <w:color w:val="auto"/>
        </w:rPr>
      </w:pPr>
    </w:p>
    <w:p>
      <w:pPr>
        <w:ind w:right="60" w:firstLine="891"/>
        <w:spacing w:after="0" w:line="290" w:lineRule="auto"/>
        <w:rPr>
          <w:sz w:val="20"/>
          <w:szCs w:val="20"/>
          <w:color w:val="auto"/>
        </w:rPr>
      </w:pPr>
      <w:r>
        <w:rPr>
          <w:rFonts w:ascii="Arial" w:cs="Arial" w:eastAsia="Arial" w:hAnsi="Arial"/>
          <w:sz w:val="16"/>
          <w:szCs w:val="16"/>
          <w:color w:val="auto"/>
        </w:rPr>
        <w:t xml:space="preserve">In October 2020, the FASB issued ASU 2020-10,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The guidance includes amendments to improve the codification by ensuring that all guidance that requires or provides an option for an entity to provide information in the notes to the financial statements is codified in the disclosure section of the codification and to clarify guidance so that entities can apply guidance more consistently on codifications that are varied in nature where the original guidance may have been unclear. ASU 2020-10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Form 10-K for the fiscal year ended January 31, 2022. The Company adopted this ASU effective February 1, 2021. The adoption of this ASU did not have a material impact on the Company’s unaudited condensed consolidated financial statements.</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 xml:space="preserve">Recent Accounting Pronouncements Not Yet Adopted: </w:t>
      </w:r>
      <w:r>
        <w:rPr>
          <w:rFonts w:ascii="Arial" w:cs="Arial" w:eastAsia="Arial" w:hAnsi="Arial"/>
          <w:sz w:val="17"/>
          <w:szCs w:val="17"/>
          <w:color w:val="auto"/>
        </w:rPr>
        <w:t>There are no new accounting standards that have not yet been adopted.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229" w:lineRule="exact"/>
        <w:rPr>
          <w:sz w:val="20"/>
          <w:szCs w:val="20"/>
          <w:color w:val="auto"/>
        </w:rPr>
      </w:pPr>
    </w:p>
    <w:p>
      <w:pPr>
        <w:ind w:right="160" w:firstLine="891"/>
        <w:spacing w:after="0" w:line="279" w:lineRule="auto"/>
        <w:rPr>
          <w:sz w:val="20"/>
          <w:szCs w:val="20"/>
          <w:color w:val="auto"/>
        </w:rPr>
      </w:pPr>
      <w:r>
        <w:rPr>
          <w:rFonts w:ascii="Arial" w:cs="Arial" w:eastAsia="Arial" w:hAnsi="Arial"/>
          <w:sz w:val="17"/>
          <w:szCs w:val="17"/>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April 30, 2021, the Company controls a majority of the outstanding common stock in nCino K.K.</w:t>
      </w:r>
    </w:p>
    <w:p>
      <w:pPr>
        <w:spacing w:after="0" w:line="171"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All of the common stock held by the Investors is callable by the Company or puttable by the Investors at the option of the Investors or at the option of the Company beginning on the eighth anniversary of the agreement with the Investors.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The estimated redemption value of the call/put option embedded in the redeemable non-controlling interest was $0.3 million at April 30, 2021.</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00" w:type="dxa"/>
            <w:vAlign w:val="bottom"/>
            <w:tcBorders>
              <w:bottom w:val="single" w:sz="8" w:color="auto"/>
            </w:tcBorders>
          </w:tcPr>
          <w:p>
            <w:pPr>
              <w:spacing w:after="0"/>
              <w:rPr>
                <w:sz w:val="16"/>
                <w:szCs w:val="16"/>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4,356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3,791</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w w:val="95"/>
              </w:rPr>
              <w:t>Net loss attributable to redeemable non-controlling interest (excluding adjustment to non-controlling interest)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to redeemable non-controlling interest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4,384</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3,065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9" w:lineRule="exact"/>
        <w:rPr>
          <w:sz w:val="20"/>
          <w:szCs w:val="20"/>
          <w:color w:val="auto"/>
        </w:rPr>
      </w:pPr>
    </w:p>
    <w:p>
      <w:pPr>
        <w:ind w:right="840" w:firstLine="891"/>
        <w:spacing w:after="0" w:line="277" w:lineRule="auto"/>
        <w:rPr>
          <w:sz w:val="20"/>
          <w:szCs w:val="20"/>
          <w:color w:val="auto"/>
        </w:rPr>
      </w:pPr>
      <w:r>
        <w:rPr>
          <w:rFonts w:ascii="Arial" w:cs="Arial" w:eastAsia="Arial" w:hAnsi="Arial"/>
          <w:sz w:val="18"/>
          <w:szCs w:val="18"/>
          <w:color w:val="auto"/>
        </w:rPr>
        <w:t>The carrying amounts of cash equivalents, accounts receivable, accounts payable and accrued expenses approximate fair value as of January 31, 2021 and April 30, 2021 because of the relatively short duration of these instruments.</w:t>
      </w:r>
    </w:p>
    <w:p>
      <w:pPr>
        <w:spacing w:after="0" w:line="170" w:lineRule="exact"/>
        <w:rPr>
          <w:sz w:val="20"/>
          <w:szCs w:val="20"/>
          <w:color w:val="auto"/>
        </w:rPr>
      </w:pPr>
    </w:p>
    <w:p>
      <w:pPr>
        <w:ind w:right="120" w:firstLine="89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2021 and April 30, 2021 and indicates the fair value hierarchy of the valuation:</w:t>
      </w:r>
    </w:p>
    <w:p>
      <w:pPr>
        <w:spacing w:after="0" w:line="216" w:lineRule="exact"/>
        <w:rPr>
          <w:sz w:val="20"/>
          <w:szCs w:val="20"/>
          <w:color w:val="auto"/>
        </w:rPr>
      </w:pPr>
    </w:p>
    <w:p>
      <w:pPr>
        <w:jc w:val="center"/>
        <w:ind w:left="7500"/>
        <w:spacing w:after="0"/>
        <w:rPr>
          <w:sz w:val="20"/>
          <w:szCs w:val="20"/>
          <w:color w:val="auto"/>
        </w:rPr>
      </w:pPr>
      <w:r>
        <w:rPr>
          <w:rFonts w:ascii="Arial" w:cs="Arial" w:eastAsia="Arial" w:hAnsi="Arial"/>
          <w:sz w:val="13"/>
          <w:szCs w:val="13"/>
          <w:b w:val="1"/>
          <w:bCs w:val="1"/>
          <w:color w:val="auto"/>
        </w:rPr>
        <w:t>Fair value measurements on a recurring basis as of January</w:t>
      </w:r>
    </w:p>
    <w:p>
      <w:pPr>
        <w:spacing w:after="0" w:line="2"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31, 2021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Money market accounts (included in 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332,541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Money market accounts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Time deposits (included in other long-term assets)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Fair value measurements on a recurring basis as of April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440"/>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347,407</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347,596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80"/>
          </w:cols>
          <w:pgMar w:left="320" w:top="125"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70" w:lineRule="exact"/>
        <w:rPr>
          <w:sz w:val="20"/>
          <w:szCs w:val="20"/>
          <w:color w:val="auto"/>
        </w:rPr>
      </w:pPr>
    </w:p>
    <w:p>
      <w:pPr>
        <w:ind w:right="260" w:firstLine="891"/>
        <w:spacing w:after="0" w:line="279" w:lineRule="auto"/>
        <w:rPr>
          <w:sz w:val="20"/>
          <w:szCs w:val="20"/>
          <w:color w:val="auto"/>
        </w:rPr>
      </w:pPr>
      <w:r>
        <w:rPr>
          <w:rFonts w:ascii="Arial" w:cs="Arial" w:eastAsia="Arial" w:hAnsi="Arial"/>
          <w:sz w:val="17"/>
          <w:szCs w:val="17"/>
          <w:color w:val="auto"/>
        </w:rPr>
        <w:t>The Company added contingent consideration, a Level 3 measurement, on October 18, 2019 with the acquisition of FinSuite Pty Ltd ("FinSuite"). Changes in fair value of the contingent consideration are recorded in the unaudited condensed consolidated statements of operations within other income. The Company’s contingent consideration is valued using a probability weighted discounted cash flow analysis. A reconciliation of the balance for contingent consideration obligations for the three months ended April 30, 2020 and 2021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adjustments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Revenues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2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tcPr>
          <w:p>
            <w:pPr>
              <w:spacing w:after="0"/>
              <w:rPr>
                <w:sz w:val="20"/>
                <w:szCs w:val="20"/>
                <w:color w:val="auto"/>
              </w:rPr>
            </w:pPr>
            <w:r>
              <w:rPr>
                <w:rFonts w:ascii="Arial" w:cs="Arial" w:eastAsia="Arial" w:hAnsi="Arial"/>
                <w:sz w:val="18"/>
                <w:szCs w:val="18"/>
                <w:b w:val="1"/>
                <w:bCs w:val="1"/>
                <w:i w:val="1"/>
                <w:iCs w:val="1"/>
                <w:color w:val="auto"/>
              </w:rPr>
              <w:t>Revenues by Geographic Area</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tcPr>
          <w:p>
            <w:pPr>
              <w:ind w:left="900"/>
              <w:spacing w:after="0"/>
              <w:rPr>
                <w:sz w:val="20"/>
                <w:szCs w:val="20"/>
                <w:color w:val="auto"/>
              </w:rPr>
            </w:pPr>
            <w:r>
              <w:rPr>
                <w:rFonts w:ascii="Arial" w:cs="Arial" w:eastAsia="Arial" w:hAnsi="Arial"/>
                <w:sz w:val="18"/>
                <w:szCs w:val="18"/>
                <w:color w:val="auto"/>
              </w:rPr>
              <w:t>Revenues by geographic region were as follows:</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80" w:type="dxa"/>
            <w:vAlign w:val="bottom"/>
          </w:tcPr>
          <w:p>
            <w:pPr>
              <w:spacing w:after="0"/>
              <w:rPr>
                <w:sz w:val="24"/>
                <w:szCs w:val="24"/>
                <w:color w:val="auto"/>
              </w:rPr>
            </w:pPr>
          </w:p>
        </w:tc>
        <w:tc>
          <w:tcPr>
            <w:tcW w:w="296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40,471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53,326</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44,712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The Company disaggregates its revenues from contracts with customers by geographic location. Revenues by geography are determined based on the region of the Company’s contracting entity, which may be different than the region of the customer. No country outside the United States represented 10% or more of total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Amounts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Accounts receivable, less allowance for doubtful accounts, is as follows as of January 31, 2021 and April 30,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January 31,</w:t>
            </w:r>
          </w:p>
        </w:tc>
        <w:tc>
          <w:tcPr>
            <w:tcW w:w="120" w:type="dxa"/>
            <w:vAlign w:val="bottom"/>
          </w:tcPr>
          <w:p>
            <w:pPr>
              <w:spacing w:after="0"/>
              <w:rPr>
                <w:sz w:val="14"/>
                <w:szCs w:val="14"/>
                <w:color w:val="auto"/>
              </w:rPr>
            </w:pPr>
          </w:p>
        </w:tc>
        <w:tc>
          <w:tcPr>
            <w:tcW w:w="13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2"/>
              </w:rPr>
              <w:t>As of April 30, 2021</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53,799</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accounts receivable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Deferred Revenue and Remaining Performance Obligation</w:t>
      </w:r>
    </w:p>
    <w:p>
      <w:pPr>
        <w:spacing w:after="0" w:line="225" w:lineRule="exact"/>
        <w:rPr>
          <w:sz w:val="20"/>
          <w:szCs w:val="20"/>
          <w:color w:val="auto"/>
        </w:rPr>
      </w:pPr>
    </w:p>
    <w:p>
      <w:pPr>
        <w:ind w:right="280" w:firstLine="891"/>
        <w:spacing w:after="0" w:line="277" w:lineRule="auto"/>
        <w:rPr>
          <w:sz w:val="20"/>
          <w:szCs w:val="20"/>
          <w:color w:val="auto"/>
        </w:rPr>
      </w:pPr>
      <w:r>
        <w:rPr>
          <w:rFonts w:ascii="Arial" w:cs="Arial" w:eastAsia="Arial" w:hAnsi="Arial"/>
          <w:sz w:val="18"/>
          <w:szCs w:val="18"/>
          <w:color w:val="auto"/>
        </w:rPr>
        <w:t>Significant movements in the deferred revenue balance during the period consisted of increases due to payments received or due in advance prior to the transfer of control of the underlying performance obligations to the customer, which</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were offset by decreases due to revenues recognized in the period. During the three months ended April 30, 2021, $40.6 million of revenues were recognized out of the deferred revenue balance as of January 31, 2021.</w:t>
      </w:r>
    </w:p>
    <w:p>
      <w:pPr>
        <w:spacing w:after="0" w:line="170" w:lineRule="exact"/>
        <w:rPr>
          <w:sz w:val="20"/>
          <w:szCs w:val="20"/>
          <w:color w:val="auto"/>
        </w:rPr>
      </w:pPr>
    </w:p>
    <w:p>
      <w:pPr>
        <w:ind w:right="60" w:firstLine="891"/>
        <w:spacing w:after="0" w:line="296" w:lineRule="auto"/>
        <w:rPr>
          <w:sz w:val="20"/>
          <w:szCs w:val="20"/>
          <w:color w:val="auto"/>
        </w:rPr>
      </w:pPr>
      <w:r>
        <w:rPr>
          <w:rFonts w:ascii="Arial" w:cs="Arial" w:eastAsia="Arial" w:hAnsi="Arial"/>
          <w:sz w:val="16"/>
          <w:szCs w:val="16"/>
          <w:color w:val="auto"/>
        </w:rPr>
        <w:t>Transaction price allocated to remaining performance obligations represents contracted revenues that have not yet been recognized, which includes deferred revenue and unbilled amounts that will be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61" w:lineRule="exact"/>
        <w:rPr>
          <w:sz w:val="20"/>
          <w:szCs w:val="20"/>
          <w:color w:val="auto"/>
        </w:rPr>
      </w:pPr>
    </w:p>
    <w:p>
      <w:pPr>
        <w:ind w:right="280" w:firstLine="891"/>
        <w:spacing w:after="0" w:line="263" w:lineRule="auto"/>
        <w:rPr>
          <w:sz w:val="20"/>
          <w:szCs w:val="20"/>
          <w:color w:val="auto"/>
        </w:rPr>
      </w:pPr>
      <w:r>
        <w:rPr>
          <w:rFonts w:ascii="Arial" w:cs="Arial" w:eastAsia="Arial" w:hAnsi="Arial"/>
          <w:sz w:val="18"/>
          <w:szCs w:val="18"/>
          <w:color w:val="auto"/>
        </w:rPr>
        <w:t>Remaining performance obligations were $611.3 million as of April 30, 2021. The Company expects to recognize approximately 62% of its remaining performance obligation as revenues in the next 24 months, approximately 30% more in the following 25 to 48 months, and the remainder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Property and equipment, net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January 31,</w:t>
            </w:r>
          </w:p>
        </w:tc>
        <w:tc>
          <w:tcPr>
            <w:tcW w:w="120" w:type="dxa"/>
            <w:vAlign w:val="bottom"/>
          </w:tcPr>
          <w:p>
            <w:pPr>
              <w:spacing w:after="0"/>
              <w:rPr>
                <w:sz w:val="14"/>
                <w:szCs w:val="14"/>
                <w:color w:val="auto"/>
              </w:rPr>
            </w:pPr>
          </w:p>
        </w:tc>
        <w:tc>
          <w:tcPr>
            <w:tcW w:w="13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2"/>
              </w:rPr>
              <w:t>As of April 30, 2021</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Computers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land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46,270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35,058</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900"/>
              <w:spacing w:after="0"/>
              <w:rPr>
                <w:sz w:val="20"/>
                <w:szCs w:val="20"/>
                <w:color w:val="auto"/>
              </w:rPr>
            </w:pPr>
            <w:r>
              <w:rPr>
                <w:rFonts w:ascii="Arial" w:cs="Arial" w:eastAsia="Arial" w:hAnsi="Arial"/>
                <w:sz w:val="18"/>
                <w:szCs w:val="18"/>
                <w:color w:val="auto"/>
              </w:rPr>
              <w:t>The Company recognized depreciation expense as follows:</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20" w:firstLine="891"/>
        <w:spacing w:after="0" w:line="263" w:lineRule="auto"/>
        <w:rPr>
          <w:sz w:val="20"/>
          <w:szCs w:val="20"/>
          <w:color w:val="auto"/>
        </w:rPr>
      </w:pPr>
      <w:r>
        <w:rPr>
          <w:rFonts w:ascii="Arial" w:cs="Arial" w:eastAsia="Arial" w:hAnsi="Arial"/>
          <w:sz w:val="18"/>
          <w:szCs w:val="18"/>
          <w:color w:val="auto"/>
        </w:rPr>
        <w:t>The increase in construction in progress is primarily due to construction for a parking deck and an additional office building that is on the property of our existing headquarters for which we are considered the owners of for accounting purposes. See Note 12 "Commitments and Contingencies" for additional details including future commitments.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change in the carrying amounts of goodwill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Translation adjustments</w:t>
            </w: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0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20" w:type="dxa"/>
            <w:vAlign w:val="bottom"/>
            <w:gridSpan w:val="4"/>
          </w:tcPr>
          <w:p>
            <w:pPr>
              <w:ind w:left="880"/>
              <w:spacing w:after="0"/>
              <w:rPr>
                <w:sz w:val="20"/>
                <w:szCs w:val="20"/>
                <w:color w:val="auto"/>
              </w:rPr>
            </w:pPr>
            <w:r>
              <w:rPr>
                <w:rFonts w:ascii="Arial" w:cs="Arial" w:eastAsia="Arial" w:hAnsi="Arial"/>
                <w:sz w:val="18"/>
                <w:szCs w:val="18"/>
                <w:color w:val="auto"/>
              </w:rPr>
              <w:t>Intangible assets, net are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January 31, 2021</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As of April 30,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76"/>
              <w:spacing w:after="0" w:line="135"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12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08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153"/>
              <w:spacing w:after="0" w:line="135"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Acquired 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21,723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(3,027)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23,137</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28,214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(5,862)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5800" w:type="dxa"/>
            <w:vAlign w:val="bottom"/>
            <w:gridSpan w:val="8"/>
          </w:tcPr>
          <w:p>
            <w:pPr>
              <w:ind w:left="880"/>
              <w:spacing w:after="0"/>
              <w:rPr>
                <w:sz w:val="20"/>
                <w:szCs w:val="20"/>
                <w:color w:val="auto"/>
              </w:rPr>
            </w:pPr>
            <w:r>
              <w:rPr>
                <w:rFonts w:ascii="Arial" w:cs="Arial" w:eastAsia="Arial" w:hAnsi="Arial"/>
                <w:sz w:val="18"/>
                <w:szCs w:val="18"/>
                <w:color w:val="auto"/>
              </w:rPr>
              <w:t>The Company recognized amortization expense as follows: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Total amortization expense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20" w:type="dxa"/>
            <w:vAlign w:val="bottom"/>
            <w:gridSpan w:val="1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8540" w:type="dxa"/>
            <w:vAlign w:val="bottom"/>
            <w:gridSpan w:val="15"/>
          </w:tcPr>
          <w:p>
            <w:pPr>
              <w:ind w:left="880"/>
              <w:spacing w:after="0"/>
              <w:rPr>
                <w:sz w:val="20"/>
                <w:szCs w:val="20"/>
                <w:color w:val="auto"/>
              </w:rPr>
            </w:pPr>
            <w:r>
              <w:rPr>
                <w:rFonts w:ascii="Arial" w:cs="Arial" w:eastAsia="Arial" w:hAnsi="Arial"/>
                <w:sz w:val="18"/>
                <w:szCs w:val="18"/>
                <w:color w:val="auto"/>
                <w:w w:val="99"/>
              </w:rPr>
              <w:t>The expected future amortization expense for intangible assets as of April 30, 2021 is as follows: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Reseller Agreement</w:t>
      </w:r>
    </w:p>
    <w:p>
      <w:pPr>
        <w:spacing w:after="0" w:line="229" w:lineRule="exact"/>
        <w:rPr>
          <w:sz w:val="20"/>
          <w:szCs w:val="20"/>
          <w:color w:val="auto"/>
        </w:rPr>
      </w:pPr>
    </w:p>
    <w:p>
      <w:pPr>
        <w:ind w:right="40" w:firstLine="891"/>
        <w:spacing w:after="0" w:line="293" w:lineRule="auto"/>
        <w:rPr>
          <w:sz w:val="20"/>
          <w:szCs w:val="20"/>
          <w:color w:val="auto"/>
        </w:rPr>
      </w:pPr>
      <w:r>
        <w:rPr>
          <w:rFonts w:ascii="Arial" w:cs="Arial" w:eastAsia="Arial" w:hAnsi="Arial"/>
          <w:sz w:val="16"/>
          <w:szCs w:val="16"/>
          <w:color w:val="auto"/>
        </w:rPr>
        <w:t>The Company has a reseller agreement in place with a related party to utilize their platform and to develop the Company’s cloud-based banking software as an application within the related party’s hosted environment. In June 2020, this agreement was renegotiated and expires in June 2027 and will automatically renew in annual increments thereafter unless either party gives notice of non-renewal before the end of the initial term or the respective renewal term. Cost of subscription revenues in each of the three months ended April 30, 2020 and 2021 substantially consists of fees paid for access to the related party’s platform, including their hosting infrastructure and data center operations. The Company has recorded expenses of $7.5 million and $10.6 million for the three months ended April 30, 2020 and 2021, respectively. See also Note 13 "Related-Party Transactions."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9. Stockholders’ Equity</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40" w:type="dxa"/>
            <w:vAlign w:val="bottom"/>
            <w:gridSpan w:val="2"/>
          </w:tcPr>
          <w:p>
            <w:pPr>
              <w:ind w:left="900"/>
              <w:spacing w:after="0"/>
              <w:rPr>
                <w:sz w:val="20"/>
                <w:szCs w:val="20"/>
                <w:color w:val="auto"/>
              </w:rPr>
            </w:pPr>
            <w:r>
              <w:rPr>
                <w:rFonts w:ascii="Arial" w:cs="Arial" w:eastAsia="Arial" w:hAnsi="Arial"/>
                <w:sz w:val="18"/>
                <w:szCs w:val="18"/>
                <w:color w:val="auto"/>
                <w:w w:val="91"/>
              </w:rPr>
              <w:t>At April 30, 2021, the Company committed a total of 26,457,630 shares of common stock for future issuance as follows: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and outstanding stock options</w:t>
            </w: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3,788,794</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Nonvested issued and outstanding restricted stock units ("RSUs")</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2,526,767</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Possible issuance under stock plans</w:t>
            </w: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20,142,069</w:t>
            </w:r>
          </w:p>
        </w:tc>
        <w:tc>
          <w:tcPr>
            <w:tcW w:w="0" w:type="dxa"/>
            <w:vAlign w:val="bottom"/>
          </w:tcPr>
          <w:p>
            <w:pPr>
              <w:spacing w:after="0"/>
              <w:rPr>
                <w:sz w:val="1"/>
                <w:szCs w:val="1"/>
                <w:color w:val="auto"/>
              </w:rPr>
            </w:pPr>
          </w:p>
        </w:tc>
      </w:tr>
      <w:tr>
        <w:trPr>
          <w:trHeight w:val="223"/>
        </w:trPr>
        <w:tc>
          <w:tcPr>
            <w:tcW w:w="8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26,457,630</w:t>
            </w:r>
          </w:p>
        </w:tc>
        <w:tc>
          <w:tcPr>
            <w:tcW w:w="0" w:type="dxa"/>
            <w:vAlign w:val="bottom"/>
          </w:tcPr>
          <w:p>
            <w:pPr>
              <w:spacing w:after="0"/>
              <w:rPr>
                <w:sz w:val="1"/>
                <w:szCs w:val="1"/>
                <w:color w:val="auto"/>
              </w:rPr>
            </w:pPr>
          </w:p>
        </w:tc>
      </w:tr>
      <w:tr>
        <w:trPr>
          <w:trHeight w:val="21"/>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Note 10. Stock-Based Compensation</w:t>
            </w: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900"/>
              <w:spacing w:after="0"/>
              <w:rPr>
                <w:sz w:val="20"/>
                <w:szCs w:val="20"/>
                <w:color w:val="auto"/>
              </w:rPr>
            </w:pPr>
            <w:r>
              <w:rPr>
                <w:rFonts w:ascii="Arial" w:cs="Arial" w:eastAsia="Arial" w:hAnsi="Arial"/>
                <w:sz w:val="18"/>
                <w:szCs w:val="18"/>
                <w:color w:val="auto"/>
              </w:rPr>
              <w:t>Stock option activity for the three months ended April 30, 2021 was as follows: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15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1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8"/>
        </w:trPr>
        <w:tc>
          <w:tcPr>
            <w:tcW w:w="8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5,467,012</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(1,651,343)</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April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3,788,794</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tcPr>
          <w:p>
            <w:pPr>
              <w:ind w:left="20"/>
              <w:spacing w:after="0" w:line="203" w:lineRule="exact"/>
              <w:rPr>
                <w:sz w:val="20"/>
                <w:szCs w:val="20"/>
                <w:color w:val="auto"/>
              </w:rPr>
            </w:pPr>
            <w:r>
              <w:rPr>
                <w:rFonts w:ascii="Arial" w:cs="Arial" w:eastAsia="Arial" w:hAnsi="Arial"/>
                <w:sz w:val="18"/>
                <w:szCs w:val="18"/>
                <w:color w:val="auto"/>
              </w:rPr>
              <w:t>Exercisable, April 30, 2021</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3,000,517</w:t>
            </w:r>
          </w:p>
        </w:tc>
        <w:tc>
          <w:tcPr>
            <w:tcW w:w="30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Fully vested or expected to vest, April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3,709,966</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As of April 30, 2021, there was $2.7 million of total unrecognized compensation expense related to unvested stock-based compensation arrangements under the 2014 Stock Plan ("2014 Plan") and 2019 Equity Incentive Plan (as amended and restated, "2019 Plan"). That cost is expected to be recognized over a weighted average period of 1.71 years.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RSU activity during the three months ended April 30, 2021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January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723,492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April 30,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2,526,767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40" w:firstLine="891"/>
        <w:spacing w:after="0" w:line="263" w:lineRule="auto"/>
        <w:rPr>
          <w:sz w:val="20"/>
          <w:szCs w:val="20"/>
          <w:color w:val="auto"/>
        </w:rPr>
      </w:pPr>
      <w:r>
        <w:rPr>
          <w:rFonts w:ascii="Arial" w:cs="Arial" w:eastAsia="Arial" w:hAnsi="Arial"/>
          <w:sz w:val="18"/>
          <w:szCs w:val="18"/>
          <w:color w:val="auto"/>
        </w:rPr>
        <w:t>As of April 30, 2021, total unrecognized compensation expense related to non-vested RSUs was $68.6 million, adjusted for estimated forfeitures, based on the estimated fair value of the Company’s common stock at the time of grant. The weighted-average period to be recognized is 3.61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There was no activity during the three months ended April 30, 2021 under the Company's Employee Stock Purchase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60" w:firstLine="891"/>
        <w:spacing w:after="0" w:line="277" w:lineRule="auto"/>
        <w:rPr>
          <w:sz w:val="20"/>
          <w:szCs w:val="20"/>
          <w:color w:val="auto"/>
        </w:rPr>
      </w:pPr>
      <w:r>
        <w:rPr>
          <w:rFonts w:ascii="Arial" w:cs="Arial" w:eastAsia="Arial" w:hAnsi="Arial"/>
          <w:sz w:val="18"/>
          <w:szCs w:val="18"/>
          <w:color w:val="auto"/>
        </w:rPr>
        <w:t>The Company leases its facilities and a portion of its equipment under various non-cancellable agreements, which expire at various times through July 2028, some of which include options to extend the leases for up to five years.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components of lease expense for the three months ended April 30, 2021 were as follows:</w:t>
      </w:r>
    </w:p>
    <w:p>
      <w:pPr>
        <w:spacing w:after="0" w:line="257" w:lineRule="exact"/>
        <w:rPr>
          <w:sz w:val="20"/>
          <w:szCs w:val="20"/>
          <w:color w:val="auto"/>
        </w:rPr>
      </w:pPr>
    </w:p>
    <w:p>
      <w:pPr>
        <w:ind w:left="1028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expense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33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Supplemental cash flow information for the three months ended April 30, 2021 related to operating leases was as follows: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1073" w:hanging="1073"/>
        <w:spacing w:after="0"/>
        <w:tabs>
          <w:tab w:leader="none" w:pos="1073" w:val="left"/>
        </w:tabs>
        <w:numPr>
          <w:ilvl w:val="0"/>
          <w:numId w:val="3"/>
        </w:numPr>
        <w:rPr>
          <w:rFonts w:ascii="Arial" w:cs="Arial" w:eastAsia="Arial" w:hAnsi="Arial"/>
          <w:sz w:val="15"/>
          <w:szCs w:val="15"/>
          <w:color w:val="auto"/>
        </w:rPr>
      </w:pPr>
      <w:r>
        <w:rPr>
          <w:rFonts w:ascii="Arial" w:cs="Arial" w:eastAsia="Arial" w:hAnsi="Arial"/>
          <w:sz w:val="15"/>
          <w:szCs w:val="15"/>
          <w:color w:val="auto"/>
        </w:rPr>
        <w:t>682</w:t>
      </w:r>
    </w:p>
    <w:p>
      <w:pPr>
        <w:spacing w:after="0" w:line="57" w:lineRule="exact"/>
        <w:rPr>
          <w:rFonts w:ascii="Arial" w:cs="Arial" w:eastAsia="Arial" w:hAnsi="Arial"/>
          <w:sz w:val="15"/>
          <w:szCs w:val="15"/>
          <w:color w:val="auto"/>
        </w:rPr>
      </w:pPr>
    </w:p>
    <w:p>
      <w:pPr>
        <w:ind w:left="1073"/>
        <w:spacing w:after="0"/>
        <w:rPr>
          <w:rFonts w:ascii="Arial" w:cs="Arial" w:eastAsia="Arial" w:hAnsi="Arial"/>
          <w:sz w:val="15"/>
          <w:szCs w:val="15"/>
          <w:color w:val="auto"/>
        </w:rPr>
      </w:pPr>
      <w:r>
        <w:rPr>
          <w:rFonts w:ascii="Arial" w:cs="Arial" w:eastAsia="Arial" w:hAnsi="Arial"/>
          <w:sz w:val="15"/>
          <w:szCs w:val="15"/>
          <w:color w:val="auto"/>
        </w:rPr>
        <w:t>194</w:t>
      </w:r>
    </w:p>
    <w:p>
      <w:pPr>
        <w:spacing w:after="0" w:line="57" w:lineRule="exact"/>
        <w:rPr>
          <w:rFonts w:ascii="Arial" w:cs="Arial" w:eastAsia="Arial" w:hAnsi="Arial"/>
          <w:sz w:val="15"/>
          <w:szCs w:val="15"/>
          <w:color w:val="auto"/>
        </w:rPr>
      </w:pPr>
    </w:p>
    <w:p>
      <w:pPr>
        <w:ind w:left="1153"/>
        <w:spacing w:after="0"/>
        <w:rPr>
          <w:rFonts w:ascii="Arial" w:cs="Arial" w:eastAsia="Arial" w:hAnsi="Arial"/>
          <w:sz w:val="15"/>
          <w:szCs w:val="15"/>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9086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38" w:lineRule="exact"/>
        <w:rPr>
          <w:sz w:val="20"/>
          <w:szCs w:val="20"/>
          <w:color w:val="auto"/>
        </w:rPr>
      </w:pPr>
    </w:p>
    <w:p>
      <w:pPr>
        <w:ind w:left="1073" w:hanging="1073"/>
        <w:spacing w:after="0"/>
        <w:tabs>
          <w:tab w:leader="none" w:pos="1073" w:val="left"/>
        </w:tabs>
        <w:numPr>
          <w:ilvl w:val="0"/>
          <w:numId w:val="4"/>
        </w:numPr>
        <w:rPr>
          <w:rFonts w:ascii="Arial" w:cs="Arial" w:eastAsia="Arial" w:hAnsi="Arial"/>
          <w:sz w:val="15"/>
          <w:szCs w:val="15"/>
          <w:color w:val="auto"/>
        </w:rPr>
      </w:pPr>
      <w:r>
        <w:rPr>
          <w:rFonts w:ascii="Arial" w:cs="Arial" w:eastAsia="Arial" w:hAnsi="Arial"/>
          <w:sz w:val="15"/>
          <w:szCs w:val="15"/>
          <w:color w:val="auto"/>
        </w:rPr>
        <w:t>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9086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62230</wp:posOffset>
            </wp:positionV>
            <wp:extent cx="9086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778" w:lineRule="exact"/>
        <w:rPr>
          <w:sz w:val="20"/>
          <w:szCs w:val="20"/>
          <w:color w:val="auto"/>
        </w:rPr>
      </w:pPr>
    </w:p>
    <w:p>
      <w:pPr>
        <w:sectPr>
          <w:pgSz w:w="11900" w:h="16838" w:orient="portrait"/>
          <w:cols w:equalWidth="0" w:num="2">
            <w:col w:w="9660" w:space="167"/>
            <w:col w:w="1413"/>
          </w:cols>
          <w:pgMar w:left="320" w:top="125" w:right="339" w:bottom="144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2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w:t>
            </w:r>
          </w:p>
        </w:tc>
      </w:tr>
    </w:tbl>
    <w:p>
      <w:pPr>
        <w:spacing w:after="0" w:line="295" w:lineRule="exact"/>
        <w:rPr>
          <w:sz w:val="20"/>
          <w:szCs w:val="20"/>
          <w:color w:val="auto"/>
        </w:rPr>
      </w:pPr>
    </w:p>
    <w:p>
      <w:pPr>
        <w:ind w:right="300" w:firstLine="891"/>
        <w:spacing w:after="0" w:line="277" w:lineRule="auto"/>
        <w:rPr>
          <w:sz w:val="20"/>
          <w:szCs w:val="20"/>
          <w:color w:val="auto"/>
        </w:rPr>
      </w:pPr>
      <w:r>
        <w:rPr>
          <w:rFonts w:ascii="Arial" w:cs="Arial" w:eastAsia="Arial" w:hAnsi="Arial"/>
          <w:sz w:val="18"/>
          <w:szCs w:val="18"/>
          <w:color w:val="auto"/>
        </w:rPr>
        <w:t>The weighted-average remaining lease term and weighted-average discount rate for the Company's operating lease liabilities as of April 30, 2021 were 5.40 years and 4.4%,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nCino, Inc.</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40" w:type="dxa"/>
            <w:vAlign w:val="bottom"/>
          </w:tcPr>
          <w:p>
            <w:pPr>
              <w:jc w:val="center"/>
              <w:ind w:right="41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(In thousands, except share and per share amounts and unless otherwise indicated)</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9780" w:type="dxa"/>
            <w:vAlign w:val="bottom"/>
            <w:gridSpan w:val="2"/>
          </w:tcPr>
          <w:p>
            <w:pPr>
              <w:ind w:left="880"/>
              <w:spacing w:after="0"/>
              <w:rPr>
                <w:sz w:val="20"/>
                <w:szCs w:val="20"/>
                <w:color w:val="auto"/>
              </w:rPr>
            </w:pPr>
            <w:r>
              <w:rPr>
                <w:rFonts w:ascii="Arial" w:cs="Arial" w:eastAsia="Arial" w:hAnsi="Arial"/>
                <w:sz w:val="18"/>
                <w:szCs w:val="18"/>
                <w:color w:val="auto"/>
              </w:rPr>
              <w:t>Future minimum lease payments as of April 30, 2021 were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1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obligations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obligations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780" w:type="dxa"/>
            <w:vAlign w:val="bottom"/>
            <w:tcBorders>
              <w:top w:val="single" w:sz="8" w:color="CCEEFF"/>
              <w:bottom w:val="single" w:sz="8" w:color="CCEEFF"/>
            </w:tcBorders>
            <w:gridSpan w:val="2"/>
            <w:vMerge w:val="restart"/>
          </w:tcPr>
          <w:p>
            <w:pPr>
              <w:ind w:left="880"/>
              <w:spacing w:after="0"/>
              <w:rPr>
                <w:sz w:val="20"/>
                <w:szCs w:val="20"/>
                <w:color w:val="auto"/>
              </w:rPr>
            </w:pPr>
            <w:r>
              <w:rPr>
                <w:rFonts w:ascii="Arial" w:cs="Arial" w:eastAsia="Arial" w:hAnsi="Arial"/>
                <w:sz w:val="18"/>
                <w:szCs w:val="18"/>
                <w:color w:val="auto"/>
                <w:w w:val="94"/>
              </w:rPr>
              <w:t>Future minimum lease payments as of January 31, 2021, prior to our adoption of the new lease ASU, were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97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1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ind w:right="580" w:firstLine="891"/>
        <w:spacing w:after="0" w:line="277" w:lineRule="auto"/>
        <w:rPr>
          <w:sz w:val="20"/>
          <w:szCs w:val="20"/>
          <w:color w:val="auto"/>
        </w:rPr>
      </w:pPr>
      <w:r>
        <w:rPr>
          <w:rFonts w:ascii="Arial" w:cs="Arial" w:eastAsia="Arial" w:hAnsi="Arial"/>
          <w:sz w:val="18"/>
          <w:szCs w:val="18"/>
          <w:color w:val="auto"/>
        </w:rPr>
        <w:t>In addition to the operating lease commitments described in Note 11 "Leases", the Company has additional contractual commitments as described further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100" w:firstLine="891"/>
        <w:spacing w:after="0" w:line="277" w:lineRule="auto"/>
        <w:rPr>
          <w:sz w:val="20"/>
          <w:szCs w:val="20"/>
          <w:color w:val="auto"/>
        </w:rPr>
      </w:pPr>
      <w:r>
        <w:rPr>
          <w:rFonts w:ascii="Arial" w:cs="Arial" w:eastAsia="Arial" w:hAnsi="Arial"/>
          <w:sz w:val="18"/>
          <w:szCs w:val="18"/>
          <w:color w:val="auto"/>
        </w:rPr>
        <w:t>The Company’s purchase commitments consist of non-cancellable agreements to purchase goods and services, primarily licenses, entered into in the ordinary course of business.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May 2021, the Company entered into an agreement for approximately $2.6 million for renovations to our existing headquarters building.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 and Construction Liabilities</w:t>
      </w:r>
    </w:p>
    <w:p>
      <w:pPr>
        <w:spacing w:after="0" w:line="225"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The Company entered into a new lease agreement for our headquarters in November 2020 with a new lessor. The lease goes through 2035 with options to renew. Due to a purchase option contained in the lease, the Company is deemed to have continuing involvement and is considered to be the owner of our headquarters for accounting purposes. As a result, the Company did not meet the criteria to apply sale-leaseback accounting and therefore, recorded an asset and corresponding financing obligation for $16.3 million at inception of the lease. Upon expiration of the purchase option in the lease, the lease will be analyzed for applicable lease accounting. The fair value of the leased property and corresponding financing obligation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are included in property and equipment, net and financing obligation on the unaudited condensed consolidated balance sheets, respectively.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January 2021, the Company entered into an agreement for a parking deck which is an addition to the existing headquarters building. Due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being deemed to be the owner of the parking deck for accounting purposes, the costs associated with the construction of the parking deck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be capitalized as construction in progress with a corresponding construction liability through construction which is estimated to be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$18.0 million. Upon completion of the parking deck, the construction liability will be recorded as a financing obligation. Upon expiration of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in the lease, the lease will be analyzed for applicable lease accounting. The costs of the construction in progress and corresponding construction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liability are included in property and equipment, net and construction liability, current on the unaudited condensed consolidated 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ind w:right="60" w:firstLine="891"/>
        <w:spacing w:after="0" w:line="254" w:lineRule="auto"/>
        <w:rPr>
          <w:sz w:val="20"/>
          <w:szCs w:val="20"/>
          <w:color w:val="auto"/>
        </w:rPr>
      </w:pPr>
      <w:r>
        <w:rPr>
          <w:rFonts w:ascii="Arial" w:cs="Arial" w:eastAsia="Arial" w:hAnsi="Arial"/>
          <w:sz w:val="18"/>
          <w:szCs w:val="18"/>
          <w:color w:val="auto"/>
        </w:rPr>
        <w:t>In April 2021, the Company entered into a new lease agreement for the construction of an additional office building that is on the property of our existing headquarters. Due to the Company also being deemed to be the owner of the additional building for accounting purposes, the costs associated with the construction of the building will be capitalized as construction in progress with a corresponding construction liability through construction which is estimated to be approximately $24.0 million. Upon completion of the building, the construction liability will be recorded as a financing obligation. Upon expiration of the purchase option in the lease, the lease will be analyzed for applicable lease accounting. The costs of the construction in progress and corresponding construction liability are included in property and equipment, net and construction liability, noncurrent on the unaudited condensed consolidated balance sheets,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120" w:firstLine="891"/>
        <w:spacing w:after="0" w:line="273" w:lineRule="auto"/>
        <w:rPr>
          <w:sz w:val="20"/>
          <w:szCs w:val="20"/>
          <w:color w:val="auto"/>
        </w:rPr>
      </w:pPr>
      <w:r>
        <w:rPr>
          <w:rFonts w:ascii="Arial" w:cs="Arial" w:eastAsia="Arial" w:hAnsi="Arial"/>
          <w:sz w:val="17"/>
          <w:szCs w:val="17"/>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From time to time, the Company may become involved in legal proceedings or be subject to claims including the following:</w:t>
      </w:r>
    </w:p>
    <w:p>
      <w:pPr>
        <w:spacing w:after="0" w:line="225" w:lineRule="exact"/>
        <w:rPr>
          <w:sz w:val="20"/>
          <w:szCs w:val="20"/>
          <w:color w:val="auto"/>
        </w:rPr>
      </w:pPr>
    </w:p>
    <w:p>
      <w:pPr>
        <w:ind w:right="260" w:firstLine="891"/>
        <w:spacing w:after="0" w:line="301" w:lineRule="auto"/>
        <w:rPr>
          <w:sz w:val="20"/>
          <w:szCs w:val="20"/>
          <w:color w:val="auto"/>
        </w:rPr>
      </w:pPr>
      <w:r>
        <w:rPr>
          <w:rFonts w:ascii="Arial" w:cs="Arial" w:eastAsia="Arial" w:hAnsi="Arial"/>
          <w:sz w:val="16"/>
          <w:szCs w:val="16"/>
          <w:color w:val="auto"/>
        </w:rPr>
        <w:t>On February 23, 2021, the Company and certain of its officers and other employees were served with grand jury subpoenas wherein the Antitrust Division of the Department of Justice is seeking documents and information in connection with an investigation of the Company’s hiring and wage practices under U.S. federal antitrust laws. The Company has retained outside counsel and is fully cooperating with the authorities. Although there can be no assurance with respect to the outcome of this matter, the Company believes its hiring and wage practices do not violate antitrust laws.</w:t>
      </w:r>
    </w:p>
    <w:p>
      <w:pPr>
        <w:spacing w:after="0" w:line="157" w:lineRule="exact"/>
        <w:rPr>
          <w:sz w:val="20"/>
          <w:szCs w:val="20"/>
          <w:color w:val="auto"/>
        </w:rPr>
      </w:pPr>
    </w:p>
    <w:p>
      <w:pPr>
        <w:ind w:right="20" w:firstLine="891"/>
        <w:spacing w:after="0" w:line="293" w:lineRule="auto"/>
        <w:rPr>
          <w:sz w:val="20"/>
          <w:szCs w:val="20"/>
          <w:color w:val="auto"/>
        </w:rPr>
      </w:pPr>
      <w:r>
        <w:rPr>
          <w:rFonts w:ascii="Arial" w:cs="Arial" w:eastAsia="Arial" w:hAnsi="Arial"/>
          <w:sz w:val="16"/>
          <w:szCs w:val="16"/>
          <w:color w:val="auto"/>
        </w:rPr>
        <w:t>On March 12, 2021, a putative class action complaint was filed in the United States District Court for the Eastern District of North Carolina. The sole class representative in the suit is one individual alleging a contract, combination or conspiracy between and among the Company, Live Oak Bancshares, Inc. and Apiture LLC not to solicit or hire each other’s employees in violation of Section 1 of the Sherman Act and N.C. Gen Stat. §§ 75-1 and 75-2. The complaint seeks treble damages and additional remedies, including restitution, disgorgement, reasonable attorneys’ fees, the costs of the suit, and pre-judgment and post judgment interest. The complaint does not allege any specific damages. Although there can be no assurance with respect to the outcome of this matter, the Company believes the alleged claims are not meritorious and intends to defend itself vigorously.</w:t>
      </w:r>
    </w:p>
    <w:p>
      <w:pPr>
        <w:spacing w:after="0" w:line="164" w:lineRule="exact"/>
        <w:rPr>
          <w:sz w:val="20"/>
          <w:szCs w:val="20"/>
          <w:color w:val="auto"/>
        </w:rPr>
      </w:pPr>
    </w:p>
    <w:p>
      <w:pPr>
        <w:ind w:right="40" w:firstLine="891"/>
        <w:spacing w:after="0" w:line="277" w:lineRule="auto"/>
        <w:rPr>
          <w:sz w:val="20"/>
          <w:szCs w:val="20"/>
          <w:color w:val="auto"/>
        </w:rPr>
      </w:pPr>
      <w:r>
        <w:rPr>
          <w:rFonts w:ascii="Arial" w:cs="Arial" w:eastAsia="Arial" w:hAnsi="Arial"/>
          <w:sz w:val="18"/>
          <w:szCs w:val="18"/>
          <w:color w:val="auto"/>
        </w:rPr>
        <w:t>The Company does not presently believe the above matters will have a material adverse effect on its day-to-day operations or the quality of the services, products or innovation it continues to provide to its customers. However, regardless of</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outcome, legal proceedings can have an adverse impact on us because of the related expenses, diversion of management resources, and other factors.</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Given the uncertainty and preliminary stages of these matters, we cannot reasonably estimate any possible loss or range of loss that may result.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225" w:lineRule="exact"/>
        <w:rPr>
          <w:sz w:val="20"/>
          <w:szCs w:val="20"/>
          <w:color w:val="auto"/>
        </w:rPr>
      </w:pPr>
    </w:p>
    <w:p>
      <w:pPr>
        <w:ind w:firstLine="891"/>
        <w:spacing w:after="0" w:line="301" w:lineRule="auto"/>
        <w:rPr>
          <w:sz w:val="20"/>
          <w:szCs w:val="20"/>
          <w:color w:val="auto"/>
        </w:rPr>
      </w:pPr>
      <w:r>
        <w:rPr>
          <w:rFonts w:ascii="Arial" w:cs="Arial" w:eastAsia="Arial" w:hAnsi="Arial"/>
          <w:sz w:val="16"/>
          <w:szCs w:val="16"/>
          <w:color w:val="auto"/>
        </w:rPr>
        <w:t>The Company is subject to audits by tax authorities in jurisdictions where it conducts business, including currently being audited in a jurisdiction with regard to indirect tax matters. These audits may result in assessments of additional taxes that are subsequently resolved with the authorities or potentially through the courts. The Company believes it has adequately provided for any assessments deemed probable and estimable from these audits; however, final assessments, if any, could be different than the amounts recorded in the unaudited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Related-Party Transactions</w:t>
      </w:r>
    </w:p>
    <w:p>
      <w:pPr>
        <w:spacing w:after="0" w:line="229" w:lineRule="exact"/>
        <w:rPr>
          <w:sz w:val="20"/>
          <w:szCs w:val="20"/>
          <w:color w:val="auto"/>
        </w:rPr>
      </w:pPr>
    </w:p>
    <w:p>
      <w:pPr>
        <w:ind w:right="60" w:firstLine="891"/>
        <w:spacing w:after="0" w:line="272" w:lineRule="auto"/>
        <w:rPr>
          <w:sz w:val="20"/>
          <w:szCs w:val="20"/>
          <w:color w:val="auto"/>
        </w:rPr>
      </w:pPr>
      <w:r>
        <w:rPr>
          <w:rFonts w:ascii="Arial" w:cs="Arial" w:eastAsia="Arial" w:hAnsi="Arial"/>
          <w:sz w:val="17"/>
          <w:szCs w:val="17"/>
          <w:color w:val="auto"/>
        </w:rPr>
        <w:t>The Company’s main vendor is also an equity holder in the Company. Total payments related to the agreement with the related party are disclosed in Note 8. The Company also purchases services from this related party to assist in managing its own sales cycle, customer relationship management, and other business functions. The Company has a non-cancellable agreement with the related party for the purchase of services. In December 2020, this agreement was renewed for one year and expires in December 2021. Total payments to the related party for these services recorded to expenses were $0.3 million and $0.4 million for the three months ended April 30, 2020 and 2021, respectively and $1.3 million and $0.9 million were in prepaid expenses and other current assets as of January 31, 2021 and April 30, 2021, respectively. Accounts payable to the related party were $4.4 million and $4.8 million at January 31, 2021 and April 30, 2021, respectively, included in accounts payable, related parties.</w:t>
      </w:r>
    </w:p>
    <w:p>
      <w:pPr>
        <w:spacing w:after="0" w:line="177" w:lineRule="exact"/>
        <w:rPr>
          <w:sz w:val="20"/>
          <w:szCs w:val="20"/>
          <w:color w:val="auto"/>
        </w:rPr>
      </w:pPr>
    </w:p>
    <w:p>
      <w:pPr>
        <w:jc w:val="both"/>
        <w:ind w:right="40" w:firstLine="891"/>
        <w:spacing w:after="0" w:line="263" w:lineRule="auto"/>
        <w:rPr>
          <w:sz w:val="20"/>
          <w:szCs w:val="20"/>
          <w:color w:val="auto"/>
        </w:rPr>
      </w:pPr>
      <w:r>
        <w:rPr>
          <w:rFonts w:ascii="Arial" w:cs="Arial" w:eastAsia="Arial" w:hAnsi="Arial"/>
          <w:sz w:val="18"/>
          <w:szCs w:val="18"/>
          <w:color w:val="auto"/>
        </w:rPr>
        <w:t>In the quarter ended July 31, 2020, certain equity holders ceased to qualify as related parties of the Company and the amounts disclosed related to them are accordingly presented through April 30, 2020 only. Included in revenues from three equity holders, who are also customers of the Company, is $2.8 million for the three months ended April 30, 2020.</w:t>
      </w:r>
    </w:p>
    <w:p>
      <w:pPr>
        <w:spacing w:after="0" w:line="184" w:lineRule="exact"/>
        <w:rPr>
          <w:sz w:val="20"/>
          <w:szCs w:val="20"/>
          <w:color w:val="auto"/>
        </w:rPr>
      </w:pPr>
    </w:p>
    <w:p>
      <w:pPr>
        <w:ind w:right="60" w:firstLine="891"/>
        <w:spacing w:after="0" w:line="311" w:lineRule="auto"/>
        <w:rPr>
          <w:sz w:val="20"/>
          <w:szCs w:val="20"/>
          <w:color w:val="auto"/>
        </w:rPr>
      </w:pPr>
      <w:r>
        <w:rPr>
          <w:rFonts w:ascii="Arial" w:cs="Arial" w:eastAsia="Arial" w:hAnsi="Arial"/>
          <w:sz w:val="16"/>
          <w:szCs w:val="16"/>
          <w:color w:val="auto"/>
        </w:rPr>
        <w:t>The Company has a banking relationship with one of its former equity holders who was considered a related party. In the quarter ended July 31, 2020, the equity holder ceased to qualify as a related party of the Company and the amounts disclosed related to such former equity holder are accordingly presented as a related party through April 30, 2020 only. Included in interest income is $0.1 million for the three months ended April 30, 2020.</w:t>
      </w:r>
    </w:p>
    <w:p>
      <w:pPr>
        <w:spacing w:after="0" w:line="149" w:lineRule="exact"/>
        <w:rPr>
          <w:sz w:val="20"/>
          <w:szCs w:val="20"/>
          <w:color w:val="auto"/>
        </w:rPr>
      </w:pPr>
    </w:p>
    <w:p>
      <w:pPr>
        <w:ind w:right="100" w:firstLine="891"/>
        <w:spacing w:after="0" w:line="275" w:lineRule="auto"/>
        <w:rPr>
          <w:sz w:val="20"/>
          <w:szCs w:val="20"/>
          <w:color w:val="auto"/>
        </w:rPr>
      </w:pPr>
      <w:r>
        <w:rPr>
          <w:rFonts w:ascii="Arial" w:cs="Arial" w:eastAsia="Arial" w:hAnsi="Arial"/>
          <w:sz w:val="17"/>
          <w:szCs w:val="17"/>
          <w:color w:val="auto"/>
        </w:rPr>
        <w:t>The Company entered into an agreement with one of its equity holders in May 2016 to spend an agreed-upon amount of funds over a three-year period to further the alliance between the two companies. In April 2019, the agreement was extended for an additional three years. As of April 30, 2021, the Company was in compliance with the terms of the agreement. In the quarter ended July 31, 2020, the equity holder ceased to qualify as a related party of the Company and the amounts disclosed related to such equity holder are accordingly presented as a related party through April 30, 2020 only. No funds were spent under the agreement during the three months ended April 30,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Basic and Diluted Loss per Share</w:t>
      </w:r>
    </w:p>
    <w:p>
      <w:pPr>
        <w:spacing w:after="0" w:line="229" w:lineRule="exact"/>
        <w:rPr>
          <w:sz w:val="20"/>
          <w:szCs w:val="20"/>
          <w:color w:val="auto"/>
        </w:rPr>
      </w:pPr>
    </w:p>
    <w:p>
      <w:pPr>
        <w:ind w:right="180" w:firstLine="891"/>
        <w:spacing w:after="0" w:line="257"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three months ended April 30, 2020 and 2021 is the same as the basic loss per share as there was a net loss for those periods, and inclusion of potentially issuable shares was anti-dilutive.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(15,008)</w:t>
            </w: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81,560,762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94,402,265</w:t>
            </w: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Basic and diluted loss per share attributable to nCino,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r>
    </w:tbl>
    <w:p>
      <w:pPr>
        <w:spacing w:after="0" w:line="295" w:lineRule="exact"/>
        <w:rPr>
          <w:sz w:val="20"/>
          <w:szCs w:val="20"/>
          <w:color w:val="auto"/>
        </w:rPr>
      </w:pPr>
    </w:p>
    <w:p>
      <w:pPr>
        <w:ind w:right="640" w:firstLine="891"/>
        <w:spacing w:after="0" w:line="277" w:lineRule="auto"/>
        <w:rPr>
          <w:sz w:val="20"/>
          <w:szCs w:val="20"/>
          <w:color w:val="auto"/>
        </w:rPr>
      </w:pPr>
      <w:r>
        <w:rPr>
          <w:rFonts w:ascii="Arial" w:cs="Arial" w:eastAsia="Arial" w:hAnsi="Arial"/>
          <w:sz w:val="18"/>
          <w:szCs w:val="18"/>
          <w:color w:val="auto"/>
        </w:rPr>
        <w:t>The weighted-average number of shares outstanding used in the computation of diluted loss per share does not include the effect of the following potential outstanding common stock because the effect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Three Months Ended April 30,</w:t>
            </w:r>
          </w:p>
        </w:tc>
      </w:tr>
      <w:tr>
        <w:trPr>
          <w:trHeight w:val="187"/>
        </w:trPr>
        <w:tc>
          <w:tcPr>
            <w:tcW w:w="424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4"/>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40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7,744,722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3,788,794</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Nonvested RSUs issued and outstanding</w:t>
            </w:r>
          </w:p>
        </w:tc>
        <w:tc>
          <w:tcPr>
            <w:tcW w:w="5480" w:type="dxa"/>
            <w:vAlign w:val="bottom"/>
            <w:gridSpan w:val="2"/>
          </w:tcPr>
          <w:p>
            <w:pPr>
              <w:jc w:val="right"/>
              <w:ind w:right="2"/>
              <w:spacing w:after="0"/>
              <w:rPr>
                <w:sz w:val="20"/>
                <w:szCs w:val="20"/>
                <w:color w:val="auto"/>
              </w:rPr>
            </w:pPr>
            <w:r>
              <w:rPr>
                <w:rFonts w:ascii="Arial" w:cs="Arial" w:eastAsia="Arial" w:hAnsi="Arial"/>
                <w:sz w:val="18"/>
                <w:szCs w:val="18"/>
                <w:color w:val="auto"/>
              </w:rPr>
              <w:t>972,494</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2,526,767</w:t>
            </w:r>
          </w:p>
        </w:tc>
      </w:tr>
      <w:tr>
        <w:trPr>
          <w:trHeight w:val="890"/>
        </w:trPr>
        <w:tc>
          <w:tcPr>
            <w:tcW w:w="4240" w:type="dxa"/>
            <w:vAlign w:val="bottom"/>
          </w:tcPr>
          <w:p>
            <w:pPr>
              <w:spacing w:after="0"/>
              <w:rPr>
                <w:sz w:val="24"/>
                <w:szCs w:val="24"/>
                <w:color w:val="auto"/>
              </w:rPr>
            </w:pPr>
          </w:p>
        </w:tc>
        <w:tc>
          <w:tcPr>
            <w:tcW w:w="4040" w:type="dxa"/>
            <w:vAlign w:val="bottom"/>
          </w:tcPr>
          <w:p>
            <w:pPr>
              <w:jc w:val="right"/>
              <w:ind w:right="2470"/>
              <w:spacing w:after="0"/>
              <w:rPr>
                <w:sz w:val="20"/>
                <w:szCs w:val="20"/>
                <w:color w:val="auto"/>
              </w:rPr>
            </w:pPr>
            <w:r>
              <w:rPr>
                <w:rFonts w:ascii="Arial" w:cs="Arial" w:eastAsia="Arial" w:hAnsi="Arial"/>
                <w:sz w:val="18"/>
                <w:szCs w:val="18"/>
                <w:color w:val="auto"/>
              </w:rPr>
              <w:t>19</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891"/>
        <w:spacing w:after="0" w:line="253"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our unaudited condensed consolidated financial statements and related notes and other financial information included in this Quarterly Report on Form 10-Q and our Annual Report on Form 10-K for the fiscal year ended January 31, 2021 filed with the SEC on March 31, 2021</w:t>
      </w:r>
      <w:r>
        <w:rPr>
          <w:rFonts w:ascii="Arial" w:cs="Arial" w:eastAsia="Arial" w:hAnsi="Arial"/>
          <w:sz w:val="18"/>
          <w:szCs w:val="18"/>
          <w:color w:val="auto"/>
        </w:rPr>
        <w:t>.</w:t>
      </w:r>
      <w:r>
        <w:rPr>
          <w:rFonts w:ascii="Arial" w:cs="Arial" w:eastAsia="Arial" w:hAnsi="Arial"/>
          <w:sz w:val="18"/>
          <w:szCs w:val="18"/>
          <w:i w:val="1"/>
          <w:iCs w:val="1"/>
          <w:color w:val="auto"/>
        </w:rPr>
        <w:t xml:space="preserve">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2022" refer to the fiscal year ended January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891"/>
        <w:spacing w:after="0" w:line="290" w:lineRule="auto"/>
        <w:rPr>
          <w:sz w:val="20"/>
          <w:szCs w:val="20"/>
          <w:color w:val="auto"/>
        </w:rPr>
      </w:pPr>
      <w:r>
        <w:rPr>
          <w:rFonts w:ascii="Arial" w:cs="Arial" w:eastAsia="Arial" w:hAnsi="Arial"/>
          <w:sz w:val="16"/>
          <w:szCs w:val="16"/>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65"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70"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right="80" w:firstLine="891"/>
        <w:spacing w:after="0" w:line="270" w:lineRule="auto"/>
        <w:rPr>
          <w:sz w:val="20"/>
          <w:szCs w:val="20"/>
          <w:color w:val="auto"/>
        </w:rPr>
      </w:pPr>
      <w:r>
        <w:rPr>
          <w:rFonts w:ascii="Arial" w:cs="Arial" w:eastAsia="Arial" w:hAnsi="Arial"/>
          <w:sz w:val="17"/>
          <w:szCs w:val="17"/>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In fiscal 2020, we acquired Visible Equity and FinSuite and combined the acquired technology with certain of our internally-developed technology to launch nCino IQ ("nIQ"). nIQ helps our customers improve operational and financial performance by using AI/ML to increase efficiency through automation and analytics to gain greater insights into their operations and client interactions. The state of Delaware effected the name change of Visible Equity to nCino Portfolio Analytics, LLC in April 2021.</w:t>
      </w:r>
    </w:p>
    <w:p>
      <w:pPr>
        <w:spacing w:after="0" w:line="181" w:lineRule="exact"/>
        <w:rPr>
          <w:sz w:val="20"/>
          <w:szCs w:val="20"/>
          <w:color w:val="auto"/>
        </w:rPr>
      </w:pPr>
    </w:p>
    <w:p>
      <w:pPr>
        <w:ind w:firstLine="891"/>
        <w:spacing w:after="0" w:line="257" w:lineRule="auto"/>
        <w:rPr>
          <w:sz w:val="20"/>
          <w:szCs w:val="20"/>
          <w:color w:val="auto"/>
        </w:rPr>
      </w:pPr>
      <w:r>
        <w:rPr>
          <w:rFonts w:ascii="Arial" w:cs="Arial" w:eastAsia="Arial" w:hAnsi="Arial"/>
          <w:sz w:val="18"/>
          <w:szCs w:val="18"/>
          <w:color w:val="auto"/>
        </w:rPr>
        <w:t>We offer our solution on a SaaS basis under multi-year contracts and recognize subscription revenues ratably over the term of the contract. Our customers may initially purchase our solution for client onboarding, loan origination, and/or deposit account opening for a single line of business or geography. Once this initial solution is in production, we seek to deploy additional applications and expand within and across additional lines of business or geographies. The expansion from our original focus on commercial and small business loan origination to retail loan origination, client onboarding, deposit account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opening, and, most recently, analytics and AI/ML applications, has enhanced our ability to increase adoption of our solution by our customers.</w:t>
      </w:r>
    </w:p>
    <w:p>
      <w:pPr>
        <w:spacing w:after="0" w:line="237" w:lineRule="exact"/>
        <w:rPr>
          <w:sz w:val="20"/>
          <w:szCs w:val="20"/>
          <w:color w:val="auto"/>
        </w:rPr>
      </w:pPr>
    </w:p>
    <w:p>
      <w:pPr>
        <w:ind w:right="60" w:firstLine="891"/>
        <w:spacing w:after="0" w:line="296" w:lineRule="auto"/>
        <w:rPr>
          <w:sz w:val="20"/>
          <w:szCs w:val="20"/>
          <w:color w:val="auto"/>
        </w:rPr>
      </w:pPr>
      <w:r>
        <w:rPr>
          <w:rFonts w:ascii="Arial" w:cs="Arial" w:eastAsia="Arial" w:hAnsi="Arial"/>
          <w:sz w:val="16"/>
          <w:szCs w:val="16"/>
          <w:color w:val="auto"/>
        </w:rPr>
        <w:t>We sell our solution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April 30, 2021, we had 162 sales and sales support personnel in the United States, and 68 sales and support personnel in offices outside the United States.</w:t>
      </w:r>
    </w:p>
    <w:p>
      <w:pPr>
        <w:spacing w:after="0" w:line="161" w:lineRule="exact"/>
        <w:rPr>
          <w:sz w:val="20"/>
          <w:szCs w:val="20"/>
          <w:color w:val="auto"/>
        </w:rPr>
      </w:pPr>
    </w:p>
    <w:p>
      <w:pPr>
        <w:ind w:firstLine="891"/>
        <w:spacing w:after="0" w:line="255" w:lineRule="auto"/>
        <w:rPr>
          <w:sz w:val="20"/>
          <w:szCs w:val="20"/>
          <w:color w:val="auto"/>
        </w:rPr>
      </w:pPr>
      <w:r>
        <w:rPr>
          <w:rFonts w:ascii="Arial" w:cs="Arial" w:eastAsia="Arial" w:hAnsi="Arial"/>
          <w:sz w:val="18"/>
          <w:szCs w:val="18"/>
          <w:color w:val="auto"/>
        </w:rPr>
        <w:t>To help customers go live with our solution and achieve success, we offer professional services including configuration and implementation, training and advisory services. For larger financial institutions, we generally work with system integrators ("SIs") such as Accenture, Deloitte, PwC, and West Monroe Partners for the delivery of professional services, while we have historically performed professional services for smaller financial institutions ourselves. We expect larger financial institutions to make up a greater proportion of our sales and to increasingly outsource professional services for smaller banks and credit unions to SIs in the future. As a result, we expect the mix of our total revenues to become more heavily weighted toward subscription revenues.</w:t>
      </w:r>
    </w:p>
    <w:p>
      <w:pPr>
        <w:spacing w:after="0" w:line="192" w:lineRule="exact"/>
        <w:rPr>
          <w:sz w:val="20"/>
          <w:szCs w:val="20"/>
          <w:color w:val="auto"/>
        </w:rPr>
      </w:pPr>
    </w:p>
    <w:p>
      <w:pPr>
        <w:ind w:right="200" w:firstLine="891"/>
        <w:spacing w:after="0" w:line="296" w:lineRule="auto"/>
        <w:rPr>
          <w:sz w:val="20"/>
          <w:szCs w:val="20"/>
          <w:color w:val="auto"/>
        </w:rPr>
      </w:pPr>
      <w:r>
        <w:rPr>
          <w:rFonts w:ascii="Arial" w:cs="Arial" w:eastAsia="Arial" w:hAnsi="Arial"/>
          <w:sz w:val="16"/>
          <w:szCs w:val="16"/>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is heavily focused on vertical-specific solutions for financial institutions. Similarly, to grow our customer base, we have invested heavily in sales and marketing both in the United States and internationally. We have also increased our general and administrative spending to support our growing operations and for operating as a newly public company.</w:t>
      </w:r>
    </w:p>
    <w:p>
      <w:pPr>
        <w:spacing w:after="0" w:line="161" w:lineRule="exact"/>
        <w:rPr>
          <w:sz w:val="20"/>
          <w:szCs w:val="20"/>
          <w:color w:val="auto"/>
        </w:rPr>
      </w:pPr>
    </w:p>
    <w:p>
      <w:pPr>
        <w:ind w:right="180" w:firstLine="891"/>
        <w:spacing w:after="0" w:line="259" w:lineRule="auto"/>
        <w:rPr>
          <w:sz w:val="20"/>
          <w:szCs w:val="20"/>
          <w:color w:val="auto"/>
        </w:rPr>
      </w:pPr>
      <w:r>
        <w:rPr>
          <w:rFonts w:ascii="Arial" w:cs="Arial" w:eastAsia="Arial" w:hAnsi="Arial"/>
          <w:sz w:val="18"/>
          <w:szCs w:val="18"/>
          <w:color w:val="auto"/>
        </w:rPr>
        <w:t>For the three months ended April 30, 2020 and 2021, our total revenues were $44.7 million and $62.4 million, respectively, representing a 39.5% increase, and our subscription revenues were $34.8 million and $51.0 million, respectively, representing a 46.5% increase. Due to our continuing investment in growth, we recorded net losses attributable to nCino of $4.8 million and $15.0 million for the three months ended April 30, 2020 and 2021,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340" w:firstLine="891"/>
        <w:spacing w:after="0" w:line="301" w:lineRule="auto"/>
        <w:rPr>
          <w:sz w:val="20"/>
          <w:szCs w:val="20"/>
          <w:color w:val="auto"/>
        </w:rPr>
      </w:pPr>
      <w:r>
        <w:rPr>
          <w:rFonts w:ascii="Arial" w:cs="Arial" w:eastAsia="Arial" w:hAnsi="Arial"/>
          <w:sz w:val="16"/>
          <w:szCs w:val="16"/>
          <w:b w:val="1"/>
          <w:bCs w:val="1"/>
          <w:i w:val="1"/>
          <w:iCs w:val="1"/>
          <w:color w:val="auto"/>
        </w:rPr>
        <w:t xml:space="preserve">Initial Public Offering. </w:t>
      </w:r>
      <w:r>
        <w:rPr>
          <w:rFonts w:ascii="Arial" w:cs="Arial" w:eastAsia="Arial" w:hAnsi="Arial"/>
          <w:sz w:val="16"/>
          <w:szCs w:val="16"/>
          <w:color w:val="auto"/>
        </w:rPr>
        <w:t>On July 13, 2020, our Registration Statement on Form S-1 relating to the initial public offering ("IPO")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was declared effective by the SEC. In connection with the IPO, we issued and sold 9,269,000 shares of common stock (including shares issued pursuant to the exercise in full of the underwriters' option to purchase additional shares) at a public offering price of $31.00 per share for net proceeds of $268.4 million, after deducting underwriters' discounts and commissions (excluding other IPO costs as of January 31, 2021).</w:t>
      </w:r>
    </w:p>
    <w:p>
      <w:pPr>
        <w:spacing w:after="0" w:line="157" w:lineRule="exact"/>
        <w:rPr>
          <w:sz w:val="20"/>
          <w:szCs w:val="20"/>
          <w:color w:val="auto"/>
        </w:rPr>
      </w:pPr>
    </w:p>
    <w:p>
      <w:pPr>
        <w:ind w:right="20" w:firstLine="891"/>
        <w:spacing w:after="0" w:line="271" w:lineRule="auto"/>
        <w:rPr>
          <w:sz w:val="20"/>
          <w:szCs w:val="20"/>
          <w:color w:val="auto"/>
        </w:rPr>
      </w:pPr>
      <w:r>
        <w:rPr>
          <w:rFonts w:ascii="Arial" w:cs="Arial" w:eastAsia="Arial" w:hAnsi="Arial"/>
          <w:sz w:val="17"/>
          <w:szCs w:val="17"/>
          <w:b w:val="1"/>
          <w:bCs w:val="1"/>
          <w:i w:val="1"/>
          <w:iCs w:val="1"/>
          <w:color w:val="auto"/>
        </w:rPr>
        <w:t xml:space="preserve">Secondary Public Offering. </w:t>
      </w:r>
      <w:r>
        <w:rPr>
          <w:rFonts w:ascii="Arial" w:cs="Arial" w:eastAsia="Arial" w:hAnsi="Arial"/>
          <w:sz w:val="17"/>
          <w:szCs w:val="17"/>
          <w:color w:val="auto"/>
        </w:rPr>
        <w:t>On October 13, 2020, the Company completed a secondary public offering (the "Secondary Offering").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did not offer any shares of common stock in the Secondary Offering and did not receive any proceeds from the sale of the shares of common stock by the selling stockholders. The Company incurred costs of approximately $1.0 million in relation to the Secondary Offering for fiscal 2021 and such costs are recorded as a component of general and administrative expenses on the consolidated statement of operations. The Company received $1.7 million in cash (excluding withholding taxes) in connection with the exercise of 554,112 options by certain stockholders participating in the Secondary Offering. In addition, concurrent with the pricing of the Secondary Offering, the underwriters in the Company's IPO released an additional 367,561 shares from lock-up agreements signed in connection with the IPO with stockholders who did not participate in the Secondary Offering. The release consisted of both outstanding shares and shares subject to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29" w:lineRule="exact"/>
        <w:rPr>
          <w:sz w:val="20"/>
          <w:szCs w:val="20"/>
          <w:color w:val="auto"/>
        </w:rPr>
      </w:pPr>
    </w:p>
    <w:p>
      <w:pPr>
        <w:ind w:right="180" w:firstLine="891"/>
        <w:spacing w:after="0" w:line="293" w:lineRule="auto"/>
        <w:rPr>
          <w:sz w:val="20"/>
          <w:szCs w:val="20"/>
          <w:color w:val="auto"/>
        </w:rPr>
      </w:pPr>
      <w:r>
        <w:rPr>
          <w:rFonts w:ascii="Arial" w:cs="Arial" w:eastAsia="Arial" w:hAnsi="Arial"/>
          <w:sz w:val="16"/>
          <w:szCs w:val="16"/>
          <w:b w:val="1"/>
          <w:bCs w:val="1"/>
          <w:i w:val="1"/>
          <w:iCs w:val="1"/>
          <w:color w:val="auto"/>
        </w:rPr>
        <w:t>Market Adoption of Our Solution</w:t>
      </w:r>
      <w:r>
        <w:rPr>
          <w:rFonts w:ascii="Arial" w:cs="Arial" w:eastAsia="Arial" w:hAnsi="Arial"/>
          <w:sz w:val="16"/>
          <w:szCs w:val="16"/>
          <w:color w:val="auto"/>
        </w:rPr>
        <w:t>. Our future growth depends on our ability to expand our reach to new financial institution customers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adoption with existing customers as they broaden their use of the nCino Bank Operating System within and across lines of business. Our success in growing our customer base and expanding adoption of our solution by existing customers requires a focused direct sales engagement and the ability to convince key decision makers at financial institutions to replace legacy third-party point solutions or internally developed software with the nCino Bank Operating System. In addition, growing our customer base will require us to increasingly penetrate markets outside the United States, which markets accounted for 14.5% of total revenues for the three months ended April 30, 2021. For new customers, our sales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61" w:lineRule="exact"/>
        <w:rPr>
          <w:sz w:val="20"/>
          <w:szCs w:val="20"/>
          <w:color w:val="auto"/>
        </w:rPr>
      </w:pPr>
    </w:p>
    <w:p>
      <w:pPr>
        <w:ind w:right="40" w:firstLine="891"/>
        <w:spacing w:after="0" w:line="273" w:lineRule="auto"/>
        <w:rPr>
          <w:sz w:val="20"/>
          <w:szCs w:val="20"/>
          <w:color w:val="auto"/>
        </w:rPr>
      </w:pPr>
      <w:r>
        <w:rPr>
          <w:rFonts w:ascii="Arial" w:cs="Arial" w:eastAsia="Arial" w:hAnsi="Arial"/>
          <w:sz w:val="17"/>
          <w:szCs w:val="17"/>
          <w:b w:val="1"/>
          <w:bCs w:val="1"/>
          <w:i w:val="1"/>
          <w:iCs w:val="1"/>
          <w:color w:val="auto"/>
        </w:rPr>
        <w:t xml:space="preserve">Mix of Subscription and Professional Services Revenues. </w:t>
      </w:r>
      <w:r>
        <w:rPr>
          <w:rFonts w:ascii="Arial" w:cs="Arial" w:eastAsia="Arial" w:hAnsi="Arial"/>
          <w:sz w:val="17"/>
          <w:szCs w:val="17"/>
          <w:color w:val="auto"/>
        </w:rPr>
        <w:t>The initial deployment of the nCino Bank Operating System by our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requires a period of implementation and configuration services that can range from as little as three months for community banks to over 18 months for global financial institutions. As a result,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spacing w:after="0" w:line="178" w:lineRule="exact"/>
        <w:rPr>
          <w:sz w:val="20"/>
          <w:szCs w:val="20"/>
          <w:color w:val="auto"/>
        </w:rPr>
      </w:pPr>
    </w:p>
    <w:p>
      <w:pPr>
        <w:ind w:right="280" w:firstLine="891"/>
        <w:spacing w:after="0" w:line="259" w:lineRule="auto"/>
        <w:rPr>
          <w:sz w:val="20"/>
          <w:szCs w:val="20"/>
          <w:color w:val="auto"/>
        </w:rPr>
      </w:pPr>
      <w:r>
        <w:rPr>
          <w:rFonts w:ascii="Arial" w:cs="Arial" w:eastAsia="Arial" w:hAnsi="Arial"/>
          <w:sz w:val="18"/>
          <w:szCs w:val="18"/>
          <w:b w:val="1"/>
          <w:bCs w:val="1"/>
          <w:i w:val="1"/>
          <w:iCs w:val="1"/>
          <w:color w:val="auto"/>
        </w:rPr>
        <w:t>COVID-19 Effects on Demand for Our Solution</w:t>
      </w:r>
      <w:r>
        <w:rPr>
          <w:rFonts w:ascii="Arial" w:cs="Arial" w:eastAsia="Arial" w:hAnsi="Arial"/>
          <w:sz w:val="18"/>
          <w:szCs w:val="18"/>
          <w:color w:val="auto"/>
        </w:rPr>
        <w:t>. To help our customers service demand for Paycheck Protection Program ("PPP")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CARES Act beginning in April 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w:t>
      </w:r>
    </w:p>
    <w:p>
      <w:pPr>
        <w:spacing w:after="0" w:line="187" w:lineRule="exact"/>
        <w:rPr>
          <w:sz w:val="20"/>
          <w:szCs w:val="20"/>
          <w:color w:val="auto"/>
        </w:rPr>
      </w:pPr>
    </w:p>
    <w:p>
      <w:pPr>
        <w:ind w:firstLine="891"/>
        <w:spacing w:after="0" w:line="255" w:lineRule="auto"/>
        <w:rPr>
          <w:sz w:val="20"/>
          <w:szCs w:val="20"/>
          <w:color w:val="auto"/>
        </w:rPr>
      </w:pPr>
      <w:r>
        <w:rPr>
          <w:rFonts w:ascii="Arial" w:cs="Arial" w:eastAsia="Arial" w:hAnsi="Arial"/>
          <w:sz w:val="18"/>
          <w:szCs w:val="18"/>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coupled with the disruptive effect of COVID-19 on the economy more generally, may have the effect of moderating revenue growth rates in fiscal 2022. In addition, our subscription revenue retention rates may be adversely affected upon the expiration of access and use rights to our PPP solution to the extent such rights are not re-purposed for other applications.</w:t>
      </w:r>
    </w:p>
    <w:p>
      <w:pPr>
        <w:spacing w:after="0" w:line="192" w:lineRule="exact"/>
        <w:rPr>
          <w:sz w:val="20"/>
          <w:szCs w:val="20"/>
          <w:color w:val="auto"/>
        </w:rPr>
      </w:pPr>
    </w:p>
    <w:p>
      <w:pPr>
        <w:ind w:right="40" w:firstLine="891"/>
        <w:spacing w:after="0" w:line="293" w:lineRule="auto"/>
        <w:rPr>
          <w:sz w:val="20"/>
          <w:szCs w:val="20"/>
          <w:color w:val="auto"/>
        </w:rPr>
      </w:pPr>
      <w:r>
        <w:rPr>
          <w:rFonts w:ascii="Arial" w:cs="Arial" w:eastAsia="Arial" w:hAnsi="Arial"/>
          <w:sz w:val="16"/>
          <w:szCs w:val="16"/>
          <w:b w:val="1"/>
          <w:bCs w:val="1"/>
          <w:i w:val="1"/>
          <w:iCs w:val="1"/>
          <w:color w:val="auto"/>
        </w:rPr>
        <w:t>Continued Investment in Innovation and Growth</w:t>
      </w:r>
      <w:r>
        <w:rPr>
          <w:rFonts w:ascii="Arial" w:cs="Arial" w:eastAsia="Arial" w:hAnsi="Arial"/>
          <w:sz w:val="16"/>
          <w:szCs w:val="16"/>
          <w:color w:val="auto"/>
        </w:rPr>
        <w:t>. We have made substantial investments in product development, sales and marketing,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increase our general and administrative spending to support our growing operations and for operating as a newly public company. As such, to capitalize on the market opportunity we see ahead of us, we expect to continue to optimize our operating plans for revenue growth, and as a result continue experiencing operating losses, for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140" w:firstLine="891"/>
        <w:spacing w:after="0" w:line="275" w:lineRule="auto"/>
        <w:rPr>
          <w:sz w:val="20"/>
          <w:szCs w:val="20"/>
          <w:color w:val="auto"/>
        </w:rPr>
      </w:pPr>
      <w:r>
        <w:rPr>
          <w:rFonts w:ascii="Arial" w:cs="Arial" w:eastAsia="Arial" w:hAnsi="Arial"/>
          <w:sz w:val="17"/>
          <w:szCs w:val="17"/>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76" w:lineRule="exact"/>
        <w:rPr>
          <w:sz w:val="20"/>
          <w:szCs w:val="20"/>
          <w:color w:val="auto"/>
        </w:rPr>
      </w:pPr>
    </w:p>
    <w:p>
      <w:pPr>
        <w:ind w:right="200" w:firstLine="891"/>
        <w:spacing w:after="0" w:line="273" w:lineRule="auto"/>
        <w:rPr>
          <w:sz w:val="20"/>
          <w:szCs w:val="20"/>
          <w:color w:val="auto"/>
        </w:rPr>
      </w:pPr>
      <w:r>
        <w:rPr>
          <w:rFonts w:ascii="Arial" w:cs="Arial" w:eastAsia="Arial" w:hAnsi="Arial"/>
          <w:sz w:val="17"/>
          <w:szCs w:val="17"/>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178" w:lineRule="exact"/>
        <w:rPr>
          <w:sz w:val="20"/>
          <w:szCs w:val="20"/>
          <w:color w:val="auto"/>
        </w:rPr>
      </w:pPr>
    </w:p>
    <w:p>
      <w:pPr>
        <w:ind w:right="160" w:firstLine="891"/>
        <w:spacing w:after="0" w:line="263" w:lineRule="auto"/>
        <w:rPr>
          <w:sz w:val="20"/>
          <w:szCs w:val="20"/>
          <w:color w:val="auto"/>
        </w:rPr>
      </w:pPr>
      <w:r>
        <w:rPr>
          <w:rFonts w:ascii="Arial" w:cs="Arial" w:eastAsia="Arial" w:hAnsi="Arial"/>
          <w:sz w:val="18"/>
          <w:szCs w:val="18"/>
          <w:i w:val="1"/>
          <w:iCs w:val="1"/>
          <w:color w:val="auto"/>
        </w:rPr>
        <w:t xml:space="preserve">Non-GAAP operating loss. </w:t>
      </w:r>
      <w:r>
        <w:rPr>
          <w:rFonts w:ascii="Arial" w:cs="Arial" w:eastAsia="Arial" w:hAnsi="Arial"/>
          <w:sz w:val="18"/>
          <w:szCs w:val="18"/>
          <w:color w:val="auto"/>
        </w:rPr>
        <w:t>Non-GAAP operating loss is defined as loss from operations as reported in our unaudited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excluding the impact of amortization of intangible assets, stock-based compensation expense, and expenses related to the government antitrust investigation and related civil action disclosed in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Part II, Item I of this Quarterly Report on Form 10Q (the "Antitrust Matters").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 We do not believe the fees and expenses related to the Antitrust Matters relate to the operating business and are operating expenses that would not have otherwise been incurred by the Company in the normal course of our business.</w:t>
      </w:r>
    </w:p>
    <w:p>
      <w:pPr>
        <w:spacing w:after="0" w:line="188"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61"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April 30,</w:t>
            </w:r>
          </w:p>
        </w:tc>
      </w:tr>
      <w:tr>
        <w:trPr>
          <w:trHeight w:val="18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GAAP loss from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30"/>
        </w:trPr>
        <w:tc>
          <w:tcPr>
            <w:tcW w:w="828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7,064</w:t>
            </w:r>
          </w:p>
        </w:tc>
      </w:tr>
      <w:tr>
        <w:trPr>
          <w:trHeight w:val="229"/>
        </w:trPr>
        <w:tc>
          <w:tcPr>
            <w:tcW w:w="8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Fees and expenses related to the Antitrust Matters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r>
      <w:tr>
        <w:trPr>
          <w:trHeight w:val="223"/>
        </w:trPr>
        <w:tc>
          <w:tcPr>
            <w:tcW w:w="828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adjustments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operating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derive our revenues from subscription and professional services fees.</w:t>
      </w:r>
    </w:p>
    <w:p>
      <w:pPr>
        <w:spacing w:after="0" w:line="225" w:lineRule="exact"/>
        <w:rPr>
          <w:sz w:val="20"/>
          <w:szCs w:val="20"/>
          <w:color w:val="auto"/>
        </w:rPr>
      </w:pPr>
    </w:p>
    <w:p>
      <w:pPr>
        <w:ind w:right="60" w:firstLine="891"/>
        <w:spacing w:after="0" w:line="263" w:lineRule="auto"/>
        <w:rPr>
          <w:sz w:val="20"/>
          <w:szCs w:val="20"/>
          <w:color w:val="auto"/>
        </w:rPr>
      </w:pPr>
      <w:r>
        <w:rPr>
          <w:rFonts w:ascii="Arial" w:cs="Arial" w:eastAsia="Arial" w:hAnsi="Arial"/>
          <w:sz w:val="18"/>
          <w:szCs w:val="18"/>
          <w:i w:val="1"/>
          <w:iCs w:val="1"/>
          <w:color w:val="auto"/>
        </w:rPr>
        <w:t>Subscription Revenues</w:t>
      </w:r>
      <w:r>
        <w:rPr>
          <w:rFonts w:ascii="Arial" w:cs="Arial" w:eastAsia="Arial" w:hAnsi="Arial"/>
          <w:sz w:val="18"/>
          <w:szCs w:val="18"/>
          <w:color w:val="auto"/>
        </w:rPr>
        <w:t>. Our subscription revenues consist principally of fees from customers for accessing the nCino Bank Operating System</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and support services that we offer under non-cancellable multi-year contracts, which typically range from three to five years. Specifically, we offer:</w:t>
      </w:r>
    </w:p>
    <w:p>
      <w:pPr>
        <w:spacing w:after="0" w:line="184" w:lineRule="exact"/>
        <w:rPr>
          <w:sz w:val="20"/>
          <w:szCs w:val="20"/>
          <w:color w:val="auto"/>
        </w:rPr>
      </w:pPr>
    </w:p>
    <w:p>
      <w:pPr>
        <w:ind w:left="1300" w:right="48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70" w:lineRule="exact"/>
        <w:rPr>
          <w:rFonts w:ascii="Arial" w:cs="Arial" w:eastAsia="Arial" w:hAnsi="Arial"/>
          <w:sz w:val="18"/>
          <w:szCs w:val="18"/>
          <w:color w:val="auto"/>
        </w:rPr>
      </w:pPr>
    </w:p>
    <w:p>
      <w:pPr>
        <w:ind w:left="1300" w:right="20" w:hanging="320"/>
        <w:spacing w:after="0" w:line="259"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nIQ, first introduced in fiscal 2020, for which we generally charge based on the asset size of the customer or on a usage basis. Prior to our acquisitions of Visible Equity and FinSuite in fiscal 2020, they generally licensed their products under annual contracts that could be cancelled on 30-days’ notice. We will continue to support these customers under their legacy contracts until such contracts are renewed, cancelled, or expire.</w:t>
      </w:r>
    </w:p>
    <w:p>
      <w:pPr>
        <w:spacing w:after="0" w:line="186" w:lineRule="exact"/>
        <w:rPr>
          <w:rFonts w:ascii="Arial" w:cs="Arial" w:eastAsia="Arial" w:hAnsi="Arial"/>
          <w:sz w:val="18"/>
          <w:szCs w:val="18"/>
          <w:color w:val="auto"/>
        </w:rPr>
      </w:pPr>
    </w:p>
    <w:p>
      <w:pPr>
        <w:ind w:left="1300" w:right="10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Maintenance and support services as well as internal-use or “sandbox” development licenses, for which we charge as a percentage of the related subscription fees.</w:t>
      </w:r>
    </w:p>
    <w:p>
      <w:pPr>
        <w:spacing w:after="0" w:line="170" w:lineRule="exact"/>
        <w:rPr>
          <w:sz w:val="20"/>
          <w:szCs w:val="20"/>
          <w:color w:val="auto"/>
        </w:rPr>
      </w:pPr>
    </w:p>
    <w:p>
      <w:pPr>
        <w:ind w:right="100" w:firstLine="891"/>
        <w:spacing w:after="0" w:line="293" w:lineRule="auto"/>
        <w:rPr>
          <w:sz w:val="20"/>
          <w:szCs w:val="20"/>
          <w:color w:val="auto"/>
        </w:rPr>
      </w:pPr>
      <w:r>
        <w:rPr>
          <w:rFonts w:ascii="Arial" w:cs="Arial" w:eastAsia="Arial" w:hAnsi="Arial"/>
          <w:sz w:val="16"/>
          <w:szCs w:val="16"/>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Subscription fees are generally charged annually in advance. Where seats are activated in stages, we charge subscription fees from the date of activation through the anniversary of the initial activation date, and annually thereafter. Maintenance and support fees, as well as development licenses, are provided over the same periods as the related subscriptions, so fees are invoiced and revenues are recognized over the same periods. Subscription fees invoiced are recorded as deferred revenue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24" w:lineRule="exact"/>
        <w:rPr>
          <w:sz w:val="20"/>
          <w:szCs w:val="20"/>
          <w:color w:val="auto"/>
        </w:rPr>
      </w:pPr>
    </w:p>
    <w:p>
      <w:pPr>
        <w:ind w:right="100" w:firstLine="891"/>
        <w:spacing w:after="0" w:line="290" w:lineRule="auto"/>
        <w:rPr>
          <w:sz w:val="20"/>
          <w:szCs w:val="20"/>
          <w:color w:val="auto"/>
        </w:rPr>
      </w:pPr>
      <w:r>
        <w:rPr>
          <w:rFonts w:ascii="Arial" w:cs="Arial" w:eastAsia="Arial" w:hAnsi="Arial"/>
          <w:sz w:val="16"/>
          <w:szCs w:val="16"/>
          <w:i w:val="1"/>
          <w:iCs w:val="1"/>
          <w:color w:val="auto"/>
        </w:rPr>
        <w:t>Professional Services Revenues</w:t>
      </w:r>
      <w:r>
        <w:rPr>
          <w:rFonts w:ascii="Arial" w:cs="Arial" w:eastAsia="Arial" w:hAnsi="Arial"/>
          <w:sz w:val="16"/>
          <w:szCs w:val="16"/>
          <w:color w:val="auto"/>
        </w:rPr>
        <w:t>. Professional services revenues consist of fees for implementation and configuration assistance, training,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services. For enterprise and larger regional financial institutions, we generally work with SIs to provide the majority of implementation services, for which these SIs bill our customers directly. We have historically delivered professional services ourselves for community banks and smaller credit unions.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ind w:firstLine="891"/>
        <w:spacing w:after="0" w:line="293" w:lineRule="auto"/>
        <w:rPr>
          <w:sz w:val="20"/>
          <w:szCs w:val="20"/>
          <w:color w:val="auto"/>
        </w:rPr>
      </w:pPr>
      <w:r>
        <w:rPr>
          <w:rFonts w:ascii="Arial" w:cs="Arial" w:eastAsia="Arial" w:hAnsi="Arial"/>
          <w:sz w:val="16"/>
          <w:szCs w:val="16"/>
          <w:i w:val="1"/>
          <w:iCs w:val="1"/>
          <w:color w:val="auto"/>
        </w:rPr>
        <w:t>Cost of Subscription Revenues</w:t>
      </w:r>
      <w:r>
        <w:rPr>
          <w:rFonts w:ascii="Arial" w:cs="Arial" w:eastAsia="Arial" w:hAnsi="Arial"/>
          <w:sz w:val="16"/>
          <w:szCs w:val="16"/>
          <w:color w:val="auto"/>
        </w:rPr>
        <w:t>. Cost of subscription revenues primarily consists of fees paid to Salesforce for access to the Salesforce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Salesforce’s hosting infrastructure and data center operations. When we resell access to Salesforce’s CRM solution, cost of subscription revenues also includes the subscription fees we remit to Salesforce for providing such access.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64" w:lineRule="exact"/>
        <w:rPr>
          <w:sz w:val="20"/>
          <w:szCs w:val="20"/>
          <w:color w:val="auto"/>
        </w:rPr>
      </w:pPr>
    </w:p>
    <w:p>
      <w:pPr>
        <w:ind w:right="40" w:firstLine="891"/>
        <w:spacing w:after="0" w:line="255" w:lineRule="auto"/>
        <w:rPr>
          <w:sz w:val="20"/>
          <w:szCs w:val="20"/>
          <w:color w:val="auto"/>
        </w:rPr>
      </w:pPr>
      <w:r>
        <w:rPr>
          <w:rFonts w:ascii="Arial" w:cs="Arial" w:eastAsia="Arial" w:hAnsi="Arial"/>
          <w:sz w:val="18"/>
          <w:szCs w:val="18"/>
          <w:i w:val="1"/>
          <w:iCs w:val="1"/>
          <w:color w:val="auto"/>
        </w:rPr>
        <w:t>Cost of Professional Services Revenues</w:t>
      </w:r>
      <w:r>
        <w:rPr>
          <w:rFonts w:ascii="Arial" w:cs="Arial" w:eastAsia="Arial" w:hAnsi="Arial"/>
          <w:sz w:val="18"/>
          <w:szCs w:val="18"/>
          <w:color w:val="auto"/>
        </w:rPr>
        <w:t>. Cost of professional services revenues consists primarily of personnel-related costs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gross margin on a period-to-period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60" w:firstLine="891"/>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consist primarily of personnel costs of our sales and marketing employees,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salaries, sales commissions and incentives, benefits and stock-based compensation expense, travel and related costs. Beginning with fiscal 2020 and the adoption of Accounting Standards Update (ASU) No. 2014-09,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acquired customer relationships, and allocated overhead. We expect sales and marketing expenses will continue to increase as we expand our direct sales teams in the United States and internationally to address our market opportunity.</w:t>
      </w:r>
    </w:p>
    <w:p>
      <w:pPr>
        <w:spacing w:after="0" w:line="166" w:lineRule="exact"/>
        <w:rPr>
          <w:sz w:val="20"/>
          <w:szCs w:val="20"/>
          <w:color w:val="auto"/>
        </w:rPr>
      </w:pPr>
    </w:p>
    <w:p>
      <w:pPr>
        <w:ind w:right="160" w:firstLine="891"/>
        <w:spacing w:after="0" w:line="301"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consist primarily of salaries, benefits and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to continue to increase as we develop new functionality and make improvements to the nCino Bank Operating System.</w:t>
      </w:r>
    </w:p>
    <w:p>
      <w:pPr>
        <w:spacing w:after="0" w:line="157" w:lineRule="exact"/>
        <w:rPr>
          <w:sz w:val="20"/>
          <w:szCs w:val="20"/>
          <w:color w:val="auto"/>
        </w:rPr>
      </w:pPr>
    </w:p>
    <w:p>
      <w:pPr>
        <w:ind w:firstLine="891"/>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salaries, benefits and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We expect that general and administrative expenses will continue to increase as we scale our business and as we incur costs associated with being a new publicly-traded company, including legal, audit, and consulting fees.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891"/>
        <w:spacing w:after="0" w:line="273" w:lineRule="auto"/>
        <w:rPr>
          <w:sz w:val="20"/>
          <w:szCs w:val="20"/>
          <w:color w:val="auto"/>
        </w:rPr>
      </w:pPr>
      <w:r>
        <w:rPr>
          <w:rFonts w:ascii="Arial" w:cs="Arial" w:eastAsia="Arial" w:hAnsi="Arial"/>
          <w:sz w:val="17"/>
          <w:szCs w:val="17"/>
          <w:color w:val="auto"/>
        </w:rPr>
        <w:t>We have historically recorded stock-based compensation expense associated with stock options in cost of revenues and operating expenses as the related options vest. Beginning in the quarter ended July 31, 2020, we recorded stock-based compensation expenses associated with RSUs as cost of revenues and operating expenses as a liquidity-based vesting condition was satisfied upon the IPO. This contributed to increased stock-based compensation expense for the three months ended April 30, 2021 relative to April 30, 2020. Stock-based compensation expense was $1.1 million and $7.1 million for the three months ended April 30, 2020 and 2021, respectively. After the IPO, stock-based compensation expense for both stock options and RSUs is recognized as the time-based vesting conditions under such awards are met.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firstLine="891"/>
        <w:spacing w:after="0" w:line="263" w:lineRule="auto"/>
        <w:rPr>
          <w:sz w:val="20"/>
          <w:szCs w:val="20"/>
          <w:color w:val="auto"/>
        </w:rPr>
      </w:pPr>
      <w:r>
        <w:rPr>
          <w:rFonts w:ascii="Arial" w:cs="Arial" w:eastAsia="Arial" w:hAnsi="Arial"/>
          <w:sz w:val="18"/>
          <w:szCs w:val="18"/>
          <w:color w:val="auto"/>
        </w:rPr>
        <w:t>The results of operations presented below should be reviewed in conjunction with the financial statements and notes included elsewhere in this Quarterly Report on Form 10-Q. The following tables present our selected consolidated statements of operations data for three months ended April 30, 2020 and 2021 in both dollars and as a percentage of total revenues, except as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86"/>
        </w:trPr>
        <w:tc>
          <w:tcPr>
            <w:tcW w:w="48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3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3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34,831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51,033</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3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23"/>
        </w:trPr>
        <w:tc>
          <w:tcPr>
            <w:tcW w:w="488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62,355</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w:t>
            </w:r>
          </w:p>
        </w:tc>
        <w:tc>
          <w:tcPr>
            <w:tcW w:w="3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360"/>
              <w:spacing w:after="0" w:line="230" w:lineRule="exact"/>
              <w:rPr>
                <w:sz w:val="20"/>
                <w:szCs w:val="20"/>
                <w:color w:val="auto"/>
              </w:rPr>
            </w:pPr>
            <w:r>
              <w:rPr>
                <w:rFonts w:ascii="Arial" w:cs="Arial" w:eastAsia="Arial" w:hAnsi="Arial"/>
                <w:sz w:val="18"/>
                <w:szCs w:val="18"/>
                <w:color w:val="auto"/>
              </w:rPr>
              <w:t>Cost of subscription revenues</w:t>
            </w:r>
            <w:r>
              <w:rPr>
                <w:rFonts w:ascii="Arial" w:cs="Arial" w:eastAsia="Arial" w:hAnsi="Arial"/>
                <w:sz w:val="23"/>
                <w:szCs w:val="23"/>
                <w:color w:val="auto"/>
                <w:vertAlign w:val="superscript"/>
              </w:rPr>
              <w:t>1</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14,946</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Cost of professional services revenues</w:t>
            </w:r>
            <w:r>
              <w:rPr>
                <w:rFonts w:ascii="Arial" w:cs="Arial" w:eastAsia="Arial" w:hAnsi="Arial"/>
                <w:sz w:val="23"/>
                <w:szCs w:val="23"/>
                <w:color w:val="auto"/>
                <w:vertAlign w:val="superscript"/>
              </w:rPr>
              <w:t>1</w:t>
            </w:r>
          </w:p>
        </w:tc>
        <w:tc>
          <w:tcPr>
            <w:tcW w:w="3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3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26,299</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36,056</w:t>
            </w: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18,425</w:t>
            </w:r>
          </w:p>
        </w:tc>
        <w:tc>
          <w:tcPr>
            <w:tcW w:w="0" w:type="dxa"/>
            <w:vAlign w:val="bottom"/>
          </w:tcPr>
          <w:p>
            <w:pPr>
              <w:spacing w:after="0"/>
              <w:rPr>
                <w:sz w:val="1"/>
                <w:szCs w:val="1"/>
                <w:color w:val="auto"/>
              </w:rPr>
            </w:pPr>
          </w:p>
        </w:tc>
      </w:tr>
      <w:tr>
        <w:trPr>
          <w:trHeight w:val="230"/>
        </w:trPr>
        <w:tc>
          <w:tcPr>
            <w:tcW w:w="4880" w:type="dxa"/>
            <w:vAlign w:val="bottom"/>
          </w:tcPr>
          <w:p>
            <w:pPr>
              <w:ind w:left="36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17,425</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51,530</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(15,474)</w:t>
            </w:r>
          </w:p>
        </w:tc>
        <w:tc>
          <w:tcPr>
            <w:tcW w:w="0" w:type="dxa"/>
            <w:vAlign w:val="bottom"/>
          </w:tcPr>
          <w:p>
            <w:pPr>
              <w:spacing w:after="0"/>
              <w:rPr>
                <w:sz w:val="1"/>
                <w:szCs w:val="1"/>
                <w:color w:val="auto"/>
              </w:rPr>
            </w:pPr>
          </w:p>
        </w:tc>
      </w:tr>
      <w:tr>
        <w:trPr>
          <w:trHeight w:val="209"/>
        </w:trPr>
        <w:tc>
          <w:tcPr>
            <w:tcW w:w="488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48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4880" w:type="dxa"/>
            <w:vAlign w:val="bottom"/>
          </w:tcPr>
          <w:p>
            <w:pPr>
              <w:ind w:left="680"/>
              <w:spacing w:after="0"/>
              <w:rPr>
                <w:sz w:val="20"/>
                <w:szCs w:val="20"/>
                <w:color w:val="auto"/>
              </w:rPr>
            </w:pPr>
            <w:r>
              <w:rPr>
                <w:rFonts w:ascii="Arial" w:cs="Arial" w:eastAsia="Arial" w:hAnsi="Arial"/>
                <w:sz w:val="18"/>
                <w:szCs w:val="18"/>
                <w:color w:val="auto"/>
              </w:rPr>
              <w:t>Loss before income tax expense</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(15,418)</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3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4880" w:type="dxa"/>
            <w:vAlign w:val="bottom"/>
          </w:tcPr>
          <w:p>
            <w:pPr>
              <w:ind w:left="680"/>
              <w:spacing w:after="0"/>
              <w:rPr>
                <w:sz w:val="20"/>
                <w:szCs w:val="20"/>
                <w:color w:val="auto"/>
              </w:rPr>
            </w:pPr>
            <w:r>
              <w:rPr>
                <w:rFonts w:ascii="Arial" w:cs="Arial" w:eastAsia="Arial" w:hAnsi="Arial"/>
                <w:sz w:val="18"/>
                <w:szCs w:val="18"/>
                <w:color w:val="auto"/>
              </w:rPr>
              <w:t>Net loss</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(15,605)</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attributable to non-controlling interest</w:t>
            </w:r>
          </w:p>
        </w:tc>
        <w:tc>
          <w:tcPr>
            <w:tcW w:w="3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loss attributable to nCino, Inc.</w:t>
            </w:r>
          </w:p>
        </w:tc>
        <w:tc>
          <w:tcPr>
            <w:tcW w:w="3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nCino, Inc.:</w:t>
            </w:r>
          </w:p>
        </w:tc>
        <w:tc>
          <w:tcPr>
            <w:tcW w:w="3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80" w:type="dxa"/>
            <w:vAlign w:val="bottom"/>
            <w:vMerge w:val="continue"/>
          </w:tcPr>
          <w:p>
            <w:pPr>
              <w:spacing w:after="0"/>
              <w:rPr>
                <w:sz w:val="15"/>
                <w:szCs w:val="15"/>
                <w:color w:val="auto"/>
              </w:rPr>
            </w:pPr>
          </w:p>
        </w:tc>
        <w:tc>
          <w:tcPr>
            <w:tcW w:w="3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3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80" w:type="dxa"/>
            <w:vAlign w:val="bottom"/>
            <w:vMerge w:val="continue"/>
          </w:tcPr>
          <w:p>
            <w:pPr>
              <w:spacing w:after="0"/>
              <w:rPr>
                <w:sz w:val="15"/>
                <w:szCs w:val="15"/>
                <w:color w:val="auto"/>
              </w:rPr>
            </w:pPr>
          </w:p>
        </w:tc>
        <w:tc>
          <w:tcPr>
            <w:tcW w:w="3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81,560,762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94,402,265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25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8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stock-based compensation expense as follows:</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subscription revenues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professional services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stock-based compensation expense</w:t>
      </w:r>
    </w:p>
    <w:p>
      <w:pPr>
        <w:spacing w:after="0" w:line="347" w:lineRule="exact"/>
        <w:rPr>
          <w:sz w:val="20"/>
          <w:szCs w:val="20"/>
          <w:color w:val="auto"/>
        </w:rPr>
      </w:pPr>
    </w:p>
    <w:p>
      <w:pPr>
        <w:jc w:val="right"/>
        <w:ind w:right="2160"/>
        <w:spacing w:after="0"/>
        <w:rPr>
          <w:sz w:val="20"/>
          <w:szCs w:val="20"/>
          <w:color w:val="auto"/>
        </w:rPr>
      </w:pPr>
      <w:r>
        <w:rPr>
          <w:rFonts w:ascii="Arial" w:cs="Arial" w:eastAsia="Arial" w:hAnsi="Arial"/>
          <w:sz w:val="18"/>
          <w:szCs w:val="18"/>
          <w:color w:val="auto"/>
        </w:rPr>
        <w:t>The Company recognized amortization expense as follows:</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subscription revenues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amortization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Three Months Ended April 30,</w:t>
      </w:r>
    </w:p>
    <w:p>
      <w:pPr>
        <w:spacing w:after="0" w:line="25" w:lineRule="exact"/>
        <w:rPr>
          <w:sz w:val="20"/>
          <w:szCs w:val="20"/>
          <w:color w:val="auto"/>
        </w:rPr>
      </w:pPr>
    </w:p>
    <w:tbl>
      <w:tblPr>
        <w:tblLayout w:type="fixed"/>
        <w:tblInd w:w="240" w:type="dxa"/>
        <w:tblCellMar>
          <w:top w:w="0" w:type="dxa"/>
          <w:left w:w="0" w:type="dxa"/>
          <w:bottom w:w="0" w:type="dxa"/>
          <w:right w:w="0" w:type="dxa"/>
        </w:tblCellMar>
      </w:tblPr>
      <w:tr>
        <w:trPr>
          <w:trHeight w:val="193"/>
        </w:trPr>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1,332</w:t>
            </w:r>
          </w:p>
        </w:tc>
      </w:tr>
      <w:tr>
        <w:trPr>
          <w:trHeight w:val="230"/>
        </w:trPr>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1,753</w:t>
            </w:r>
          </w:p>
        </w:tc>
      </w:tr>
      <w:tr>
        <w:trPr>
          <w:trHeight w:val="229"/>
        </w:trPr>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1,543</w:t>
            </w:r>
          </w:p>
        </w:tc>
      </w:tr>
      <w:tr>
        <w:trPr>
          <w:trHeight w:val="230"/>
        </w:trPr>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Three Months Ended April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4"/>
        </w:trPr>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r>
      <w:tr>
        <w:trPr>
          <w:trHeight w:val="20"/>
        </w:trPr>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514"/>
        </w:trPr>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 April 30,</w:t>
            </w:r>
          </w:p>
        </w:tc>
      </w:tr>
      <w:tr>
        <w:trPr>
          <w:trHeight w:val="186"/>
        </w:trPr>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67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p>
      <w:pPr>
        <w:sectPr>
          <w:pgSz w:w="11900" w:h="16838" w:orient="portrait"/>
          <w:cols w:equalWidth="0" w:num="2">
            <w:col w:w="7320" w:space="720"/>
            <w:col w:w="320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12"/>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77.9 %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81.8 %</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4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538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660" w:type="dxa"/>
            <w:vAlign w:val="bottom"/>
          </w:tcPr>
          <w:p>
            <w:pPr>
              <w:spacing w:after="0"/>
              <w:rPr>
                <w:sz w:val="19"/>
                <w:szCs w:val="19"/>
                <w:color w:val="auto"/>
              </w:rPr>
            </w:pPr>
          </w:p>
        </w:tc>
        <w:tc>
          <w:tcPr>
            <w:tcW w:w="1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Cost of revenues (percentage shown in comparison to related revenues):</w:t>
            </w:r>
          </w:p>
        </w:tc>
        <w:tc>
          <w:tcPr>
            <w:tcW w:w="26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4220" w:type="dxa"/>
            <w:vAlign w:val="bottom"/>
            <w:gridSpan w:val="2"/>
          </w:tcPr>
          <w:p>
            <w:pPr>
              <w:jc w:val="right"/>
              <w:ind w:right="13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4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266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42.2</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Gross profit</w:t>
            </w:r>
          </w:p>
        </w:tc>
        <w:tc>
          <w:tcPr>
            <w:tcW w:w="266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4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220" w:type="dxa"/>
            <w:vAlign w:val="bottom"/>
            <w:gridSpan w:val="2"/>
          </w:tcPr>
          <w:p>
            <w:pPr>
              <w:jc w:val="right"/>
              <w:ind w:right="13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66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67.3</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Loss from operations</w:t>
            </w:r>
          </w:p>
        </w:tc>
        <w:tc>
          <w:tcPr>
            <w:tcW w:w="266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4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22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4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5380" w:type="dxa"/>
            <w:vAlign w:val="bottom"/>
          </w:tcPr>
          <w:p>
            <w:pPr>
              <w:ind w:left="1120"/>
              <w:spacing w:after="0"/>
              <w:rPr>
                <w:sz w:val="20"/>
                <w:szCs w:val="20"/>
                <w:color w:val="auto"/>
              </w:rPr>
            </w:pPr>
            <w:r>
              <w:rPr>
                <w:rFonts w:ascii="Arial" w:cs="Arial" w:eastAsia="Arial" w:hAnsi="Arial"/>
                <w:sz w:val="18"/>
                <w:szCs w:val="18"/>
                <w:color w:val="auto"/>
              </w:rPr>
              <w:t>Loss before income tax expense</w:t>
            </w:r>
          </w:p>
        </w:tc>
        <w:tc>
          <w:tcPr>
            <w:tcW w:w="2660" w:type="dxa"/>
            <w:vAlign w:val="bottom"/>
          </w:tcPr>
          <w:p>
            <w:pPr>
              <w:spacing w:after="0"/>
              <w:rPr>
                <w:sz w:val="19"/>
                <w:szCs w:val="19"/>
                <w:color w:val="auto"/>
              </w:rPr>
            </w:pPr>
          </w:p>
        </w:tc>
        <w:tc>
          <w:tcPr>
            <w:tcW w:w="1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4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5380" w:type="dxa"/>
            <w:vAlign w:val="bottom"/>
          </w:tcPr>
          <w:p>
            <w:pPr>
              <w:ind w:left="1120"/>
              <w:spacing w:after="0"/>
              <w:rPr>
                <w:sz w:val="20"/>
                <w:szCs w:val="20"/>
                <w:color w:val="auto"/>
              </w:rPr>
            </w:pPr>
            <w:r>
              <w:rPr>
                <w:rFonts w:ascii="Arial" w:cs="Arial" w:eastAsia="Arial" w:hAnsi="Arial"/>
                <w:sz w:val="18"/>
                <w:szCs w:val="18"/>
                <w:color w:val="auto"/>
              </w:rPr>
              <w:t>Net loss</w:t>
            </w:r>
          </w:p>
        </w:tc>
        <w:tc>
          <w:tcPr>
            <w:tcW w:w="266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60" w:type="dxa"/>
            <w:vAlign w:val="bottom"/>
            <w:vMerge w:val="restart"/>
          </w:tcPr>
          <w:p>
            <w:pPr>
              <w:jc w:val="right"/>
              <w:ind w:right="2230"/>
              <w:spacing w:after="0"/>
              <w:rPr>
                <w:sz w:val="20"/>
                <w:szCs w:val="20"/>
                <w:color w:val="auto"/>
              </w:rPr>
            </w:pPr>
            <w:r>
              <w:rPr>
                <w:rFonts w:ascii="Arial" w:cs="Arial" w:eastAsia="Arial" w:hAnsi="Arial"/>
                <w:sz w:val="18"/>
                <w:szCs w:val="18"/>
                <w:color w:val="auto"/>
              </w:rPr>
              <w:t>26</w:t>
            </w: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3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April 30, 2020 and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Three Months Ended April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8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70"/>
              <w:spacing w:after="0"/>
              <w:rPr>
                <w:sz w:val="20"/>
                <w:szCs w:val="20"/>
                <w:color w:val="auto"/>
              </w:rPr>
            </w:pPr>
            <w:r>
              <w:rPr>
                <w:rFonts w:ascii="Arial" w:cs="Arial" w:eastAsia="Arial" w:hAnsi="Arial"/>
                <w:sz w:val="14"/>
                <w:szCs w:val="14"/>
                <w:b w:val="1"/>
                <w:bCs w:val="1"/>
                <w:color w:val="auto"/>
                <w:w w:val="96"/>
              </w:rPr>
              <w:t>2021</w:t>
            </w:r>
          </w:p>
        </w:tc>
      </w:tr>
      <w:tr>
        <w:trPr>
          <w:trHeight w:val="21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34,831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77.9 %</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51,033</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81.8 %</w:t>
            </w:r>
          </w:p>
        </w:tc>
      </w:tr>
      <w:tr>
        <w:trPr>
          <w:trHeight w:val="229"/>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16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18.2</w:t>
            </w:r>
          </w:p>
        </w:tc>
      </w:tr>
      <w:tr>
        <w:trPr>
          <w:trHeight w:val="223"/>
        </w:trPr>
        <w:tc>
          <w:tcPr>
            <w:tcW w:w="5100" w:type="dxa"/>
            <w:vAlign w:val="bottom"/>
          </w:tcPr>
          <w:p>
            <w:pPr>
              <w:ind w:left="1120"/>
              <w:spacing w:after="0"/>
              <w:rPr>
                <w:sz w:val="20"/>
                <w:szCs w:val="20"/>
                <w:color w:val="auto"/>
              </w:rPr>
            </w:pPr>
            <w:r>
              <w:rPr>
                <w:rFonts w:ascii="Arial" w:cs="Arial" w:eastAsia="Arial" w:hAnsi="Arial"/>
                <w:sz w:val="18"/>
                <w:szCs w:val="18"/>
                <w:color w:val="auto"/>
              </w:rPr>
              <w:t>Total revenues</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44,712</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62,355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right="140" w:firstLine="891"/>
        <w:spacing w:after="0" w:line="254" w:lineRule="auto"/>
        <w:rPr>
          <w:sz w:val="20"/>
          <w:szCs w:val="20"/>
          <w:color w:val="auto"/>
        </w:rPr>
      </w:pPr>
      <w:r>
        <w:rPr>
          <w:rFonts w:ascii="Arial" w:cs="Arial" w:eastAsia="Arial" w:hAnsi="Arial"/>
          <w:sz w:val="18"/>
          <w:szCs w:val="18"/>
          <w:color w:val="auto"/>
        </w:rPr>
        <w:t>Subscription revenues increased $16.2 million for the three months ended April 30, 2021 compared to the three months ended April 30, 2020, primarily due to initial revenues from customers who did not contribute to subscription revenues during the prior period and growth from existing customers within and across lines of business. Of the increase, 82.8% was attributable to increased revenues from existing customers as additional seats were activated in accordance with contractual terms and customers expanded their adoption of our solution and 17.2% was attributable to initial revenues from customers who did not contribute to subscription revenues during the three months ended April 30, 2020. Subscription revenues were 81.8% of total revenues for the three months ended April 30, 2021 compared to 77.9% of total revenues for the three months ended April 30, 2020, reflecting the growth in our installed base.</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right="60" w:firstLine="891"/>
        <w:spacing w:after="0" w:line="263" w:lineRule="auto"/>
        <w:rPr>
          <w:sz w:val="20"/>
          <w:szCs w:val="20"/>
          <w:color w:val="auto"/>
        </w:rPr>
      </w:pPr>
      <w:r>
        <w:rPr>
          <w:rFonts w:ascii="Arial" w:cs="Arial" w:eastAsia="Arial" w:hAnsi="Arial"/>
          <w:sz w:val="18"/>
          <w:szCs w:val="18"/>
          <w:color w:val="auto"/>
        </w:rPr>
        <w:t>Professional services revenues increased $1.4 million for the three months ended April 30, 2021 compared to the three months ended April 30, 2020, primarily due to the addition of new customers as well as expanded adoption by existing customers within and across lines of business where implementation, configuration, and training services were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8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270"/>
              <w:spacing w:after="0"/>
              <w:rPr>
                <w:sz w:val="20"/>
                <w:szCs w:val="20"/>
                <w:color w:val="auto"/>
              </w:rPr>
            </w:pPr>
            <w:r>
              <w:rPr>
                <w:rFonts w:ascii="Arial" w:cs="Arial" w:eastAsia="Arial" w:hAnsi="Arial"/>
                <w:sz w:val="14"/>
                <w:szCs w:val="14"/>
                <w:b w:val="1"/>
                <w:bCs w:val="1"/>
                <w:color w:val="auto"/>
                <w:w w:val="96"/>
              </w:rPr>
              <w:t>2021</w:t>
            </w:r>
          </w:p>
        </w:tc>
      </w:tr>
      <w:tr>
        <w:trPr>
          <w:trHeight w:val="157"/>
        </w:trPr>
        <w:tc>
          <w:tcPr>
            <w:tcW w:w="51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Cost of revenues (percentage shown in comparison to related</w:t>
            </w: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10,099</w:t>
            </w:r>
          </w:p>
        </w:tc>
        <w:tc>
          <w:tcPr>
            <w:tcW w:w="500" w:type="dxa"/>
            <w:vAlign w:val="bottom"/>
          </w:tcPr>
          <w:p>
            <w:pPr>
              <w:spacing w:after="0"/>
              <w:rPr>
                <w:sz w:val="19"/>
                <w:szCs w:val="19"/>
                <w:color w:val="auto"/>
              </w:rPr>
            </w:pPr>
          </w:p>
        </w:tc>
        <w:tc>
          <w:tcPr>
            <w:tcW w:w="1140" w:type="dxa"/>
            <w:vAlign w:val="bottom"/>
          </w:tcPr>
          <w:p>
            <w:pPr>
              <w:ind w:left="600"/>
              <w:spacing w:after="0"/>
              <w:rPr>
                <w:sz w:val="20"/>
                <w:szCs w:val="20"/>
                <w:color w:val="auto"/>
              </w:rPr>
            </w:pPr>
            <w:r>
              <w:rPr>
                <w:rFonts w:ascii="Arial" w:cs="Arial" w:eastAsia="Arial" w:hAnsi="Arial"/>
                <w:sz w:val="18"/>
                <w:szCs w:val="18"/>
                <w:color w:val="auto"/>
                <w:w w:val="92"/>
              </w:rPr>
              <w:t>29.0 %</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14,946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29.3 %</w:t>
            </w:r>
          </w:p>
        </w:tc>
      </w:tr>
      <w:tr>
        <w:trPr>
          <w:trHeight w:val="229"/>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40" w:type="dxa"/>
            <w:vAlign w:val="bottom"/>
            <w:tcBorders>
              <w:bottom w:val="single" w:sz="8" w:color="auto"/>
            </w:tcBorders>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100.3</w:t>
            </w:r>
          </w:p>
        </w:tc>
      </w:tr>
      <w:tr>
        <w:trPr>
          <w:trHeight w:val="223"/>
        </w:trPr>
        <w:tc>
          <w:tcPr>
            <w:tcW w:w="5100" w:type="dxa"/>
            <w:vAlign w:val="bottom"/>
          </w:tcPr>
          <w:p>
            <w:pPr>
              <w:ind w:left="680"/>
              <w:spacing w:after="0"/>
              <w:rPr>
                <w:sz w:val="20"/>
                <w:szCs w:val="20"/>
                <w:color w:val="auto"/>
              </w:rPr>
            </w:pPr>
            <w:r>
              <w:rPr>
                <w:rFonts w:ascii="Arial" w:cs="Arial" w:eastAsia="Arial" w:hAnsi="Arial"/>
                <w:sz w:val="18"/>
                <w:szCs w:val="18"/>
                <w:color w:val="auto"/>
              </w:rPr>
              <w:t>Total cost of revenues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18,866</w:t>
            </w:r>
          </w:p>
        </w:tc>
        <w:tc>
          <w:tcPr>
            <w:tcW w:w="500" w:type="dxa"/>
            <w:vAlign w:val="bottom"/>
          </w:tcPr>
          <w:p>
            <w:pPr>
              <w:spacing w:after="0"/>
              <w:rPr>
                <w:sz w:val="19"/>
                <w:szCs w:val="19"/>
                <w:color w:val="auto"/>
              </w:rPr>
            </w:pPr>
          </w:p>
        </w:tc>
        <w:tc>
          <w:tcPr>
            <w:tcW w:w="1140" w:type="dxa"/>
            <w:vAlign w:val="bottom"/>
          </w:tcPr>
          <w:p>
            <w:pPr>
              <w:ind w:left="60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26,299</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42.2</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r>
      <w:tr>
        <w:trPr>
          <w:trHeight w:val="243"/>
        </w:trPr>
        <w:tc>
          <w:tcPr>
            <w:tcW w:w="51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500" w:type="dxa"/>
            <w:vAlign w:val="bottom"/>
            <w:shd w:val="clear" w:color="auto" w:fill="CCEEFF"/>
          </w:tcPr>
          <w:p>
            <w:pPr>
              <w:spacing w:after="0"/>
              <w:rPr>
                <w:sz w:val="21"/>
                <w:szCs w:val="21"/>
                <w:color w:val="auto"/>
              </w:rPr>
            </w:pPr>
          </w:p>
        </w:tc>
        <w:tc>
          <w:tcPr>
            <w:tcW w:w="11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57.8 %</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right="20" w:firstLine="891"/>
        <w:spacing w:after="0" w:line="254" w:lineRule="auto"/>
        <w:rPr>
          <w:sz w:val="20"/>
          <w:szCs w:val="20"/>
          <w:color w:val="auto"/>
        </w:rPr>
      </w:pPr>
      <w:r>
        <w:rPr>
          <w:rFonts w:ascii="Arial" w:cs="Arial" w:eastAsia="Arial" w:hAnsi="Arial"/>
          <w:sz w:val="18"/>
          <w:szCs w:val="18"/>
          <w:color w:val="auto"/>
        </w:rPr>
        <w:t>Cost of subscription revenues increased $4.8 million for the three months ended April 30, 2021 compared to the three months ended April 30, 2020, generating a gross margin for subscription revenues of 70.7% compared to a gross margin of 71.0% for the three months ended April 30, 2020. Costs related to Salesforce user fees increased $3.1 million as we continued to add new customers and sell additional functionality to existing customers, and personnel costs increased $1.2 million as we added new employees. Stock-based compensation expense, included in personnel costs, increased $0.3 million for vesting of RSUs that started after the effective date of the IPO. Other costs of subscription revenues increased $0.4 million due to data services purchased for resale. We expect the cost of subscription revenues will continue to increase in absolute dollars as the number of users of the nCino Bank Operating System grows.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jc w:val="both"/>
        <w:ind w:right="200" w:firstLine="891"/>
        <w:spacing w:after="0" w:line="259" w:lineRule="auto"/>
        <w:rPr>
          <w:sz w:val="20"/>
          <w:szCs w:val="20"/>
          <w:color w:val="auto"/>
        </w:rPr>
      </w:pPr>
      <w:r>
        <w:rPr>
          <w:rFonts w:ascii="Arial" w:cs="Arial" w:eastAsia="Arial" w:hAnsi="Arial"/>
          <w:sz w:val="18"/>
          <w:szCs w:val="18"/>
          <w:color w:val="auto"/>
        </w:rPr>
        <w:t>Cost of professional services revenues increased $2.6 million for the three months ended April 30, 2021 compared to the three months ended April 30, 2020, generating a gross margin for professional services of (0.3)% compared to a gross margin of 11.3% for the three months ended April 30, 2020. Excluding the effect of additional stock-based compensation expense attributable to RSUs vesting since the effective date of the IPO, gross margin for professional services for the three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months ended April 30, 2021 was 10.4%. For the three months ended April 30, 2021, personnel costs increased $2.8 million for the professional services team compared to the prior year period due to increased headcount. Stock-based compensation expense, included in personnel costs, increased $1.2 million for vesting of RSUs that started after the effective date of the IPO. These increases were partially offset by a $0.3 million decrease in reimbursable travel and related expenses for the professional service organization due to COVID-19-related travel restrictions. The decrease in our professional services gross margin for the three months ended April 30, 2021 was primarily due to additional stock-based compensation expense and continued investment in expansion of our international professional services teams.</w:t>
      </w:r>
    </w:p>
    <w:p>
      <w:pPr>
        <w:spacing w:after="0" w:line="178" w:lineRule="exact"/>
        <w:rPr>
          <w:sz w:val="20"/>
          <w:szCs w:val="20"/>
          <w:color w:val="auto"/>
        </w:rPr>
      </w:pPr>
    </w:p>
    <w:p>
      <w:pPr>
        <w:ind w:right="400" w:firstLine="891"/>
        <w:spacing w:after="0" w:line="277" w:lineRule="auto"/>
        <w:rPr>
          <w:sz w:val="20"/>
          <w:szCs w:val="20"/>
          <w:color w:val="auto"/>
        </w:rPr>
      </w:pPr>
      <w:r>
        <w:rPr>
          <w:rFonts w:ascii="Arial" w:cs="Arial" w:eastAsia="Arial" w:hAnsi="Arial"/>
          <w:sz w:val="18"/>
          <w:szCs w:val="18"/>
          <w:color w:val="auto"/>
        </w:rPr>
        <w:t>We expect the cost of professional services revenues to increase in absolute dollars in the near term as we add new customer subscriptions where we provide professional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1000" w:type="dxa"/>
            <w:vAlign w:val="bottom"/>
            <w:tcBorders>
              <w:bottom w:val="single" w:sz="8" w:color="auto"/>
            </w:tcBorders>
          </w:tcPr>
          <w:p>
            <w:pPr>
              <w:spacing w:after="0"/>
              <w:rPr>
                <w:sz w:val="16"/>
                <w:szCs w:val="16"/>
                <w:color w:val="auto"/>
              </w:rPr>
            </w:pPr>
          </w:p>
        </w:tc>
      </w:tr>
      <w:tr>
        <w:trPr>
          <w:trHeight w:val="18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6"/>
                <w:szCs w:val="16"/>
                <w:color w:val="auto"/>
              </w:rPr>
            </w:pPr>
          </w:p>
        </w:tc>
      </w:tr>
      <w:tr>
        <w:trPr>
          <w:trHeight w:val="21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1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w w:val="89"/>
              </w:rPr>
              <w:t>27.3 %</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253"/>
              <w:spacing w:after="0"/>
              <w:rPr>
                <w:sz w:val="20"/>
                <w:szCs w:val="20"/>
                <w:color w:val="auto"/>
              </w:rPr>
            </w:pPr>
            <w:r>
              <w:rPr>
                <w:rFonts w:ascii="Arial" w:cs="Arial" w:eastAsia="Arial" w:hAnsi="Arial"/>
                <w:sz w:val="18"/>
                <w:szCs w:val="18"/>
                <w:color w:val="auto"/>
                <w:w w:val="90"/>
              </w:rPr>
              <w:t>18,425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w w:val="92"/>
              </w:rPr>
              <w:t>29.5 %</w:t>
            </w:r>
          </w:p>
        </w:tc>
      </w:tr>
      <w:tr>
        <w:trPr>
          <w:trHeight w:val="230"/>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90"/>
              </w:rPr>
              <w:t>17,425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27.9</w:t>
            </w:r>
          </w:p>
        </w:tc>
      </w:tr>
      <w:tr>
        <w:trPr>
          <w:trHeight w:val="229"/>
        </w:trPr>
        <w:tc>
          <w:tcPr>
            <w:tcW w:w="5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253"/>
              <w:spacing w:after="0"/>
              <w:rPr>
                <w:sz w:val="20"/>
                <w:szCs w:val="20"/>
                <w:color w:val="auto"/>
              </w:rPr>
            </w:pPr>
            <w:r>
              <w:rPr>
                <w:rFonts w:ascii="Arial" w:cs="Arial" w:eastAsia="Arial" w:hAnsi="Arial"/>
                <w:sz w:val="18"/>
                <w:szCs w:val="18"/>
                <w:color w:val="auto"/>
                <w:w w:val="90"/>
              </w:rPr>
              <w:t>15,680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25.1</w:t>
            </w:r>
          </w:p>
        </w:tc>
      </w:tr>
      <w:tr>
        <w:trPr>
          <w:trHeight w:val="223"/>
        </w:trPr>
        <w:tc>
          <w:tcPr>
            <w:tcW w:w="5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253"/>
              <w:spacing w:after="0"/>
              <w:rPr>
                <w:sz w:val="20"/>
                <w:szCs w:val="20"/>
                <w:color w:val="auto"/>
              </w:rPr>
            </w:pPr>
            <w:r>
              <w:rPr>
                <w:rFonts w:ascii="Arial" w:cs="Arial" w:eastAsia="Arial" w:hAnsi="Arial"/>
                <w:sz w:val="18"/>
                <w:szCs w:val="18"/>
                <w:color w:val="auto"/>
                <w:w w:val="90"/>
              </w:rPr>
              <w:t>51,530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82.5</w:t>
            </w:r>
          </w:p>
        </w:tc>
      </w:tr>
      <w:tr>
        <w:trPr>
          <w:trHeight w:val="223"/>
        </w:trPr>
        <w:tc>
          <w:tcPr>
            <w:tcW w:w="5100" w:type="dxa"/>
            <w:vAlign w:val="bottom"/>
          </w:tcPr>
          <w:p>
            <w:pPr>
              <w:ind w:left="1120"/>
              <w:spacing w:after="0"/>
              <w:rPr>
                <w:sz w:val="20"/>
                <w:szCs w:val="20"/>
                <w:color w:val="auto"/>
              </w:rPr>
            </w:pPr>
            <w:r>
              <w:rPr>
                <w:rFonts w:ascii="Arial" w:cs="Arial" w:eastAsia="Arial" w:hAnsi="Arial"/>
                <w:sz w:val="18"/>
                <w:szCs w:val="18"/>
                <w:color w:val="auto"/>
              </w:rPr>
              <w:t>Loss from operations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4"/>
              </w:rPr>
              <w:t>(9.5)%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92"/>
              </w:rPr>
              <w:t>(15,474)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1"/>
              </w:rPr>
              <w:t>(24.7)%</w:t>
            </w:r>
          </w:p>
        </w:tc>
      </w:tr>
      <w:tr>
        <w:trPr>
          <w:trHeight w:val="21"/>
        </w:trPr>
        <w:tc>
          <w:tcPr>
            <w:tcW w:w="5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firstLine="891"/>
        <w:spacing w:after="0" w:line="255" w:lineRule="auto"/>
        <w:rPr>
          <w:sz w:val="20"/>
          <w:szCs w:val="20"/>
          <w:color w:val="auto"/>
        </w:rPr>
      </w:pPr>
      <w:r>
        <w:rPr>
          <w:rFonts w:ascii="Arial" w:cs="Arial" w:eastAsia="Arial" w:hAnsi="Arial"/>
          <w:sz w:val="18"/>
          <w:szCs w:val="18"/>
          <w:color w:val="auto"/>
        </w:rPr>
        <w:t>Sales and marketing expenses increased $6.2 million for the three months ended April 30, 2021 compared to the three months ended April 30, 2020, primarily due to an increase of $5.9 million in personnel costs resulting from an increase in headcount on the sales and marketing teams and an increase of $0.5 million in marketing costs. Stock-based compensation expense, included in personnel costs, increased $1.6 million for vesting of RSUs that started after the effective date of the IPO and $1.2 million related to expatriate tax equalization expense included in personnel costs. The increase in sales and marketing expenses for the three months ended April 30, 2021 was partially offset by a decrease of $0.5 million in sales-related travel costs due to COVID-19-related travel restrictions.</w:t>
      </w:r>
    </w:p>
    <w:p>
      <w:pPr>
        <w:spacing w:after="0" w:line="192" w:lineRule="exact"/>
        <w:rPr>
          <w:sz w:val="20"/>
          <w:szCs w:val="20"/>
          <w:color w:val="auto"/>
        </w:rPr>
      </w:pPr>
    </w:p>
    <w:p>
      <w:pPr>
        <w:ind w:right="160" w:firstLine="891"/>
        <w:spacing w:after="0" w:line="277" w:lineRule="auto"/>
        <w:rPr>
          <w:sz w:val="20"/>
          <w:szCs w:val="20"/>
          <w:color w:val="auto"/>
        </w:rPr>
      </w:pPr>
      <w:r>
        <w:rPr>
          <w:rFonts w:ascii="Arial" w:cs="Arial" w:eastAsia="Arial" w:hAnsi="Arial"/>
          <w:sz w:val="18"/>
          <w:szCs w:val="18"/>
          <w:color w:val="auto"/>
        </w:rPr>
        <w:t>Our sales and marketing headcount grew by 41 from April 30, 2020 to April 30, 2021. We expect sales and marketing expenses to increase in absolute dollars as we invest in expanding our customer base and user adoption.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firstLine="891"/>
        <w:spacing w:after="0" w:line="296" w:lineRule="auto"/>
        <w:rPr>
          <w:sz w:val="20"/>
          <w:szCs w:val="20"/>
          <w:color w:val="auto"/>
        </w:rPr>
      </w:pPr>
      <w:r>
        <w:rPr>
          <w:rFonts w:ascii="Arial" w:cs="Arial" w:eastAsia="Arial" w:hAnsi="Arial"/>
          <w:sz w:val="16"/>
          <w:szCs w:val="16"/>
          <w:color w:val="auto"/>
        </w:rPr>
        <w:t>Research and development expenses increased $6.5 million for the three months ended April 30, 2021 compared to the three months ended April 30, 2020, primarily due to an increase of $4.8 million in personnel costs resulting from a continued increase in headcount and a $0.3 million increase in allocated overhead costs due to growth supporting our continued business expansion. Stock-based compensation expense, included in personnel costs, increased $1.4 million for vesting of RSUs that started after the effective date of the IPO. Third party professional fees increased $1.4 million for the three months ended April 30, 2021 compared to the three months ended April 30, 2020, attributable to an increase of contract research and development spend.</w:t>
      </w:r>
    </w:p>
    <w:p>
      <w:pPr>
        <w:spacing w:after="0" w:line="161" w:lineRule="exact"/>
        <w:rPr>
          <w:sz w:val="20"/>
          <w:szCs w:val="20"/>
          <w:color w:val="auto"/>
        </w:rPr>
      </w:pPr>
    </w:p>
    <w:p>
      <w:pPr>
        <w:ind w:right="80" w:firstLine="891"/>
        <w:spacing w:after="0" w:line="342" w:lineRule="auto"/>
        <w:rPr>
          <w:sz w:val="20"/>
          <w:szCs w:val="20"/>
          <w:color w:val="auto"/>
        </w:rPr>
      </w:pPr>
      <w:r>
        <w:rPr>
          <w:rFonts w:ascii="Arial" w:cs="Arial" w:eastAsia="Arial" w:hAnsi="Arial"/>
          <w:sz w:val="16"/>
          <w:szCs w:val="16"/>
          <w:color w:val="auto"/>
        </w:rPr>
        <w:t>Our research and development headcount grew by 87 from April 30, 2020 to April 30, 2021. We expect research and development expenses to increase in absolute dollars due to higher headcount as we continue to develop new applications and further enhance the nCino Bank Operating System.</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00" w:firstLine="891"/>
        <w:spacing w:after="0" w:line="296" w:lineRule="auto"/>
        <w:rPr>
          <w:sz w:val="20"/>
          <w:szCs w:val="20"/>
          <w:color w:val="auto"/>
        </w:rPr>
      </w:pPr>
      <w:r>
        <w:rPr>
          <w:rFonts w:ascii="Arial" w:cs="Arial" w:eastAsia="Arial" w:hAnsi="Arial"/>
          <w:sz w:val="16"/>
          <w:szCs w:val="16"/>
          <w:color w:val="auto"/>
        </w:rPr>
        <w:t>General and administrative expenses increased $8.8 million for the three months ended April 30, 2021 compared to the three months ended April 30, 2020. Personnel costs increased $3.5 million from additional headcount as we continued to scale our business and also increased due to stock-based compensation expense and associated employer taxes with the exercises of certain stock-based transactions. Stock-based compensation expense, included in personnel costs, increased $2.1 million for vesting of RSUs that started after the effective date of the IPO and a $0.7 million increase related to employer taxes associated with equity transactions in personnel costs. Third party professional fees increased $4.0 million for the three months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ended April 30, 2021 compared to the three months ended April 30, 2020, mostly attributable to fees and expenses related to the Antitrust Matters of $3.3 million and costs associated with being a public company. Allocated overhead and other general and administrative costs increased $1.2 million, which consisted primarily of an increase in insurance costs associated with being a public company.</w:t>
      </w:r>
    </w:p>
    <w:p>
      <w:pPr>
        <w:spacing w:after="0" w:line="184" w:lineRule="exact"/>
        <w:rPr>
          <w:sz w:val="20"/>
          <w:szCs w:val="20"/>
          <w:color w:val="auto"/>
        </w:rPr>
      </w:pPr>
    </w:p>
    <w:p>
      <w:pPr>
        <w:ind w:right="20" w:firstLine="891"/>
        <w:spacing w:after="0" w:line="263" w:lineRule="auto"/>
        <w:rPr>
          <w:sz w:val="20"/>
          <w:szCs w:val="20"/>
          <w:color w:val="auto"/>
        </w:rPr>
      </w:pPr>
      <w:r>
        <w:rPr>
          <w:rFonts w:ascii="Arial" w:cs="Arial" w:eastAsia="Arial" w:hAnsi="Arial"/>
          <w:sz w:val="18"/>
          <w:szCs w:val="18"/>
          <w:color w:val="auto"/>
        </w:rPr>
        <w:t>Our general and administrative headcount grew by 18 from April 30, 2020 to April 30, 2021. We expect general and administrative expenses to increase in absolute dollars in the near term, primarily due to higher headcount to support our continued growth, fees and expenses related to the Antitrust Matters, and additional expenses for our transition to, and continuing costs of, being a public company.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Effects of COVID-19</w:t>
      </w:r>
    </w:p>
    <w:p>
      <w:pPr>
        <w:spacing w:after="0" w:line="225" w:lineRule="exact"/>
        <w:rPr>
          <w:sz w:val="20"/>
          <w:szCs w:val="20"/>
          <w:color w:val="auto"/>
        </w:rPr>
      </w:pPr>
    </w:p>
    <w:p>
      <w:pPr>
        <w:ind w:firstLine="891"/>
        <w:spacing w:after="0" w:line="286" w:lineRule="auto"/>
        <w:rPr>
          <w:sz w:val="20"/>
          <w:szCs w:val="20"/>
          <w:color w:val="auto"/>
        </w:rPr>
      </w:pPr>
      <w:r>
        <w:rPr>
          <w:rFonts w:ascii="Arial" w:cs="Arial" w:eastAsia="Arial" w:hAnsi="Arial"/>
          <w:sz w:val="16"/>
          <w:szCs w:val="16"/>
          <w:color w:val="auto"/>
        </w:rPr>
        <w:t>COVID-19 began affecting our business in our first quarter fiscal 2021.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We have recently eased some of these restrictions, but substantially all of our employees continue to work remotely and work-related travel remains very limited. In addition, we shifted our conferences and other marketing events to virtual-only for the foreseeable future. We expect these restrictions to stay in effect into future periods.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ultimate duration, severity and spread of the pandemic, the effectiveness of COVID-19 vaccinations, the effects of pandemic on financial institutions generally as well as on our customers, their clients and on our business partners in particular, restrictions on travel and other actions that may be taken by governmental authorities and other factors. For further information, please see “Management’s Discussion and Analysis of Financial Condition and Results of Operations—Factors Affecting Our Operating Results—COVID-19 Effects on Demand for Our Solutions” and “Risk Factors—Uncertain or weakened economic conditions, including as a result of COVID-19, may adversely affect our industry, business, and results of operations," included in our Annual Report on Form 10-K for the fiscal year ended January 31, 2021 filed with the SEC on March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891"/>
        <w:spacing w:after="0" w:line="286" w:lineRule="auto"/>
        <w:rPr>
          <w:sz w:val="20"/>
          <w:szCs w:val="20"/>
          <w:color w:val="auto"/>
        </w:rPr>
      </w:pPr>
      <w:r>
        <w:rPr>
          <w:rFonts w:ascii="Arial" w:cs="Arial" w:eastAsia="Arial" w:hAnsi="Arial"/>
          <w:sz w:val="17"/>
          <w:szCs w:val="17"/>
          <w:color w:val="auto"/>
        </w:rPr>
        <w:t>As of April 30, 2021, we had $386.5 million in cash and cash equivalents, and an accumulated deficit of $176.2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165" w:lineRule="exact"/>
        <w:rPr>
          <w:sz w:val="20"/>
          <w:szCs w:val="20"/>
          <w:color w:val="auto"/>
        </w:rPr>
      </w:pPr>
    </w:p>
    <w:p>
      <w:pPr>
        <w:ind w:right="20" w:firstLine="891"/>
        <w:spacing w:after="0" w:line="291" w:lineRule="auto"/>
        <w:rPr>
          <w:sz w:val="20"/>
          <w:szCs w:val="20"/>
          <w:color w:val="auto"/>
        </w:rPr>
      </w:pPr>
      <w:r>
        <w:rPr>
          <w:rFonts w:ascii="Arial" w:cs="Arial" w:eastAsia="Arial" w:hAnsi="Arial"/>
          <w:sz w:val="16"/>
          <w:szCs w:val="16"/>
          <w:color w:val="auto"/>
        </w:rPr>
        <w:t>To date, we have funded our capital needs through issuances of common stock and collections from our customers.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believe that current cash and cash equivalents will be sufficient to fund our operations and capital requirements for at least the next</w:t>
      </w:r>
    </w:p>
    <w:p>
      <w:pPr>
        <w:spacing w:after="0" w:line="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 the continued expansion of our sales and marketing activities, investments in office facilities and other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nCino K.K.</w:t>
      </w:r>
    </w:p>
    <w:p>
      <w:pPr>
        <w:spacing w:after="0" w:line="225" w:lineRule="exact"/>
        <w:rPr>
          <w:sz w:val="20"/>
          <w:szCs w:val="20"/>
          <w:color w:val="auto"/>
        </w:rPr>
      </w:pPr>
    </w:p>
    <w:p>
      <w:pPr>
        <w:ind w:right="20" w:firstLine="891"/>
        <w:spacing w:after="0" w:line="291" w:lineRule="auto"/>
        <w:rPr>
          <w:sz w:val="20"/>
          <w:szCs w:val="20"/>
          <w:color w:val="auto"/>
        </w:rPr>
      </w:pPr>
      <w:r>
        <w:rPr>
          <w:rFonts w:ascii="Arial" w:cs="Arial" w:eastAsia="Arial" w:hAnsi="Arial"/>
          <w:sz w:val="16"/>
          <w:szCs w:val="16"/>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2021 and April 30, 2021, the redeemable non-controlling interest was $3.8 million and $3.1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Summary Cash Flow information for the three months ended April 30, 2020 and 2021 are set forth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April 30,</w:t>
            </w:r>
          </w:p>
        </w:tc>
      </w:tr>
      <w:tr>
        <w:trPr>
          <w:trHeight w:val="18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w:t>
            </w: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color w:val="auto"/>
        </w:rPr>
        <w:t>The $7.6 million provided by operating activities in the three months ended April 30, 2021 reflects our net loss of $15.6 million, offset by $10.5 million in non-cash charges and $12.6 million generated by changes in working capital accounts. Non-cash charges primarily consisted of stock-based compensation, depreciation and amortization, and amortization of costs capitalized to obtain revenue contracts, partially offset by foreign currency gains related to intercompany loans and transactions. Cash generated by working capital accounts was principally a function of a $19.4 million increase in deferred revenue, as we expanded our customer base and renewed existing customers, and a $1.1 million decrease in prepaid expenses and other assets. The cash generated by working capital accounts was partially offset by a $5.6 million decrease in accounts payable and accrued expenses and other liabilities, payments of $1.5 million of capitalized costs to obtain revenue contracts, which consisted primarily of sales commissions, a $0.6 million decrease in operating lease liabilities, and a $0.2 million increase in accounts receivable.</w:t>
      </w:r>
    </w:p>
    <w:p>
      <w:pPr>
        <w:spacing w:after="0" w:line="178" w:lineRule="exact"/>
        <w:rPr>
          <w:sz w:val="20"/>
          <w:szCs w:val="20"/>
          <w:color w:val="auto"/>
        </w:rPr>
      </w:pPr>
    </w:p>
    <w:p>
      <w:pPr>
        <w:ind w:right="20" w:firstLine="891"/>
        <w:spacing w:after="0" w:line="272" w:lineRule="auto"/>
        <w:rPr>
          <w:sz w:val="20"/>
          <w:szCs w:val="20"/>
          <w:color w:val="auto"/>
        </w:rPr>
      </w:pPr>
      <w:r>
        <w:rPr>
          <w:rFonts w:ascii="Arial" w:cs="Arial" w:eastAsia="Arial" w:hAnsi="Arial"/>
          <w:sz w:val="17"/>
          <w:szCs w:val="17"/>
          <w:color w:val="auto"/>
        </w:rPr>
        <w:t>The $8.4 million provided by operating activities in the three months ended April 30, 2020 reflects our net loss of $4.8 million, offset by $4.3 million in non-cash charges and $8.9 million generated by changes in working capital accounts. Non-cash charges primarily consisted of stock-based compensation, depreciation and amortization, and amortization of costs capitalized to obtain revenue contracts. Cash generated by working capital accounts was principally a function of a $18.6 million increase in our deferred revenue, as we expanded our customer base and renewed existing customers, and a $0.2 million decrease in prepaid expenses and other assets. The cash generated by working capital accounts was partially offset by a $4.4 million decrease in accounts payable and accrued expenses and other liabilities, a $3.1 million increase in accounts receivable, and payments of $2.4 million of capitalized costs to obtain revenue contracts, which consisted primarily of sales commissions.</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right="20" w:firstLine="891"/>
        <w:spacing w:after="0" w:line="286" w:lineRule="auto"/>
        <w:rPr>
          <w:sz w:val="20"/>
          <w:szCs w:val="20"/>
          <w:color w:val="auto"/>
        </w:rPr>
      </w:pPr>
      <w:r>
        <w:rPr>
          <w:rFonts w:ascii="Arial" w:cs="Arial" w:eastAsia="Arial" w:hAnsi="Arial"/>
          <w:sz w:val="17"/>
          <w:szCs w:val="17"/>
          <w:color w:val="auto"/>
        </w:rPr>
        <w:t>We used $0.5 million in investing activities in the three months ended April 30, 2021 for the purchase of property and equipment and leasehold improvements to support the expansion of our business. The $1.1 million used in investing activities in the three months ended April 30, 2020 was used for the purchase of property and equipment and leasehold improvements to support the expansion of our business.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225" w:lineRule="exact"/>
        <w:rPr>
          <w:sz w:val="20"/>
          <w:szCs w:val="20"/>
          <w:color w:val="auto"/>
        </w:rPr>
      </w:pPr>
    </w:p>
    <w:p>
      <w:pPr>
        <w:ind w:right="200" w:firstLine="891"/>
        <w:spacing w:after="0" w:line="263" w:lineRule="auto"/>
        <w:rPr>
          <w:sz w:val="20"/>
          <w:szCs w:val="20"/>
          <w:color w:val="auto"/>
        </w:rPr>
      </w:pPr>
      <w:r>
        <w:rPr>
          <w:rFonts w:ascii="Arial" w:cs="Arial" w:eastAsia="Arial" w:hAnsi="Arial"/>
          <w:sz w:val="18"/>
          <w:szCs w:val="18"/>
          <w:color w:val="auto"/>
        </w:rPr>
        <w:t>The $7.8 million provided by financing activities in the three months ended April 30, 2021 was comprised principally of $7.9 million of proceeds from the exercise of stock options. The cash provided by financing activities was partially reduced by principal payments of $0.1 million on the financing obligation. The $0.1 million used in financing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activities in the three months ended April 30, 2020 was comprised principally of payments of $0.2 million for deferred costs, partially offset by $0.1 million of proceeds from the exercise of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right="60" w:firstLine="891"/>
        <w:spacing w:after="0" w:line="275" w:lineRule="auto"/>
        <w:rPr>
          <w:sz w:val="20"/>
          <w:szCs w:val="20"/>
          <w:color w:val="auto"/>
        </w:rPr>
      </w:pPr>
      <w:r>
        <w:rPr>
          <w:rFonts w:ascii="Arial" w:cs="Arial" w:eastAsia="Arial" w:hAnsi="Arial"/>
          <w:sz w:val="17"/>
          <w:szCs w:val="17"/>
          <w:color w:val="auto"/>
        </w:rPr>
        <w:t>In April 2021, the Company entered into a new lease agreement for the construction of an additional office building that is on the property of our existing headquarters. Due to the Company also being deemed to be the owner of the additional building for accounting purposes, the costs associated with the construction of the building will be capitalized as construction in progress with a corresponding construction liability through construction which is estimated to be approximately $24.0 million. Upon completion of the building, the construction liability will be recorded as a financing obligation. Upon expiration of the purchase option in the lease, the lease will be analyzed for applicable lease accounting.</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May 2021, the Company entered into an agreement for approximately $2.6 million for renovations to our existing headquarters building.</w:t>
      </w:r>
    </w:p>
    <w:p>
      <w:pPr>
        <w:spacing w:after="0" w:line="248" w:lineRule="exact"/>
        <w:rPr>
          <w:sz w:val="20"/>
          <w:szCs w:val="20"/>
          <w:color w:val="auto"/>
        </w:rPr>
      </w:pPr>
    </w:p>
    <w:p>
      <w:pPr>
        <w:ind w:right="20" w:firstLine="891"/>
        <w:spacing w:after="0" w:line="301" w:lineRule="auto"/>
        <w:rPr>
          <w:sz w:val="20"/>
          <w:szCs w:val="20"/>
          <w:color w:val="auto"/>
        </w:rPr>
      </w:pPr>
      <w:r>
        <w:rPr>
          <w:rFonts w:ascii="Arial" w:cs="Arial" w:eastAsia="Arial" w:hAnsi="Arial"/>
          <w:sz w:val="16"/>
          <w:szCs w:val="16"/>
          <w:color w:val="auto"/>
        </w:rPr>
        <w:t>For additional discussion on our leases and other contractual commitments, see Note 11 "Leases" and Note 12 "Commitments and Contingencies" of the notes to our unaudited condensed consolidated financial statements included in Part 1, Item 1 of this Quarterly Report on Form 10-Q. There were no material changes, other than the agreement referred to above, to our contractual obligations and commitments as of April 30, 2021 compared to January 31, 2021 as disclosed in our Annual Report on Form 10-K for the fiscal year ended January 31, 2021 filed with the SEC on March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firstLine="891"/>
        <w:spacing w:after="0" w:line="286" w:lineRule="auto"/>
        <w:rPr>
          <w:sz w:val="20"/>
          <w:szCs w:val="20"/>
          <w:color w:val="auto"/>
        </w:rPr>
      </w:pPr>
      <w:r>
        <w:rPr>
          <w:rFonts w:ascii="Arial" w:cs="Arial" w:eastAsia="Arial" w:hAnsi="Arial"/>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891"/>
        <w:spacing w:after="0" w:line="255" w:lineRule="auto"/>
        <w:rPr>
          <w:sz w:val="20"/>
          <w:szCs w:val="20"/>
          <w:color w:val="auto"/>
        </w:rPr>
      </w:pPr>
      <w:r>
        <w:rPr>
          <w:rFonts w:ascii="Arial" w:cs="Arial" w:eastAsia="Arial" w:hAnsi="Arial"/>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79" w:lineRule="exact"/>
        <w:rPr>
          <w:sz w:val="20"/>
          <w:szCs w:val="20"/>
          <w:color w:val="auto"/>
        </w:rPr>
      </w:pPr>
    </w:p>
    <w:p>
      <w:pPr>
        <w:ind w:firstLine="891"/>
        <w:spacing w:after="0" w:line="246" w:lineRule="auto"/>
        <w:rPr>
          <w:sz w:val="20"/>
          <w:szCs w:val="20"/>
          <w:color w:val="auto"/>
        </w:rPr>
      </w:pPr>
      <w:r>
        <w:rPr>
          <w:rFonts w:ascii="Arial" w:cs="Arial" w:eastAsia="Arial" w:hAnsi="Arial"/>
          <w:sz w:val="18"/>
          <w:szCs w:val="18"/>
          <w:color w:val="auto"/>
        </w:rPr>
        <w:t>There have been no material changes in our critical accounting policies or estimates as compared to those disclosed in the Annual Report on Form 10-K for the fiscal year ended January 31, 2021 filed with the SEC on March 31,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See Note 2 "Summary of Significant Accounting Policies" of the notes to our unaudited condensed consolidated financial statements included in Part 1, Item 1 of this Quarterly Report on Form 10-Q for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40" w:firstLine="891"/>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300" w:firstLine="891"/>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right="40" w:firstLine="891"/>
        <w:spacing w:after="0" w:line="287" w:lineRule="auto"/>
        <w:rPr>
          <w:sz w:val="20"/>
          <w:szCs w:val="20"/>
          <w:color w:val="auto"/>
        </w:rPr>
      </w:pPr>
      <w:r>
        <w:rPr>
          <w:rFonts w:ascii="Arial" w:cs="Arial" w:eastAsia="Arial" w:hAnsi="Arial"/>
          <w:sz w:val="16"/>
          <w:szCs w:val="16"/>
          <w:color w:val="auto"/>
        </w:rPr>
        <w:t>At April 30, 2021, we had cash, cash equivalents and restricted cash of $386.5 million, which consisted primarily of bank deposits and money market accounts.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w:t>
      </w:r>
    </w:p>
    <w:p>
      <w:pPr>
        <w:spacing w:after="0" w:line="2" w:lineRule="exact"/>
        <w:rPr>
          <w:sz w:val="20"/>
          <w:szCs w:val="20"/>
          <w:color w:val="auto"/>
        </w:rPr>
      </w:pPr>
    </w:p>
    <w:p>
      <w:pPr>
        <w:jc w:val="both"/>
        <w:ind w:right="60"/>
        <w:spacing w:after="0" w:line="260"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891"/>
        <w:spacing w:after="0" w:line="270" w:lineRule="auto"/>
        <w:rPr>
          <w:sz w:val="20"/>
          <w:szCs w:val="20"/>
          <w:color w:val="auto"/>
        </w:rPr>
      </w:pPr>
      <w:r>
        <w:rPr>
          <w:rFonts w:ascii="Arial" w:cs="Arial" w:eastAsia="Arial" w:hAnsi="Arial"/>
          <w:sz w:val="17"/>
          <w:szCs w:val="17"/>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60" w:firstLine="891"/>
        <w:spacing w:after="0" w:line="290" w:lineRule="auto"/>
        <w:rPr>
          <w:sz w:val="20"/>
          <w:szCs w:val="20"/>
          <w:color w:val="auto"/>
        </w:rPr>
      </w:pPr>
      <w:r>
        <w:rPr>
          <w:rFonts w:ascii="Arial" w:cs="Arial" w:eastAsia="Arial" w:hAnsi="Arial"/>
          <w:sz w:val="16"/>
          <w:szCs w:val="16"/>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principal executive officer and principal financial officer, evaluated the effectiveness of our disclosure controls and procedures at April 30, 2021, the last day of the period covered by this Quarterly Report on Form 10-Q. Based on this evaluation, our principal executive officer and principal financial officer have concluded that, at April 30, 2021, our disclosure controls and procedures were effective at the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00" w:firstLine="891"/>
        <w:spacing w:after="0" w:line="279" w:lineRule="auto"/>
        <w:rPr>
          <w:sz w:val="20"/>
          <w:szCs w:val="20"/>
          <w:color w:val="auto"/>
        </w:rPr>
      </w:pPr>
      <w:r>
        <w:rPr>
          <w:rFonts w:ascii="Arial" w:cs="Arial" w:eastAsia="Arial" w:hAnsi="Arial"/>
          <w:sz w:val="17"/>
          <w:szCs w:val="17"/>
          <w:color w:val="auto"/>
        </w:rPr>
        <w:t xml:space="preserve">Effective February 1, 2021 we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resulted in changes to our processes related to lease accounting and underlying control activities. There were no other changes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ind w:right="100" w:firstLine="891"/>
        <w:spacing w:after="0" w:line="257" w:lineRule="auto"/>
        <w:rPr>
          <w:sz w:val="20"/>
          <w:szCs w:val="20"/>
          <w:color w:val="auto"/>
        </w:rPr>
      </w:pPr>
      <w:r>
        <w:rPr>
          <w:rFonts w:ascii="Arial" w:cs="Arial" w:eastAsia="Arial" w:hAnsi="Arial"/>
          <w:sz w:val="18"/>
          <w:szCs w:val="18"/>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design of any disclosure controls and procedures and internal control over financial reporting also is based in part upon certain assumptions about the likelihood of future events, and there can be no assurance that any design will succeed in achieving its stated goals under all potential future conditions.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From time to time, we may become involved in legal proceedings or be subject to claims including the following:</w:t>
      </w:r>
    </w:p>
    <w:p>
      <w:pPr>
        <w:spacing w:after="0" w:line="225" w:lineRule="exact"/>
        <w:rPr>
          <w:sz w:val="20"/>
          <w:szCs w:val="20"/>
          <w:color w:val="auto"/>
        </w:rPr>
      </w:pPr>
    </w:p>
    <w:p>
      <w:pPr>
        <w:ind w:right="260" w:firstLine="891"/>
        <w:spacing w:after="0" w:line="301" w:lineRule="auto"/>
        <w:rPr>
          <w:sz w:val="20"/>
          <w:szCs w:val="20"/>
          <w:color w:val="auto"/>
        </w:rPr>
      </w:pPr>
      <w:r>
        <w:rPr>
          <w:rFonts w:ascii="Arial" w:cs="Arial" w:eastAsia="Arial" w:hAnsi="Arial"/>
          <w:sz w:val="16"/>
          <w:szCs w:val="16"/>
          <w:color w:val="auto"/>
        </w:rPr>
        <w:t>On February 23, 2021, the Company and certain of its officers and other employees were served with grand jury subpoenas wherein the Antitrust Division of the Department of Justice is seeking documents and information in connection with an investigation of the Company’s hiring and wage practices under U.S. federal antitrust laws. The Company has retained outside counsel and is fully cooperating with the authorities. Although there can be no assurance with respect to the outcome of this matter, the Company believes its hiring and wage practices do not violate antitrust laws.</w:t>
      </w:r>
    </w:p>
    <w:p>
      <w:pPr>
        <w:spacing w:after="0" w:line="157" w:lineRule="exact"/>
        <w:rPr>
          <w:sz w:val="20"/>
          <w:szCs w:val="20"/>
          <w:color w:val="auto"/>
        </w:rPr>
      </w:pPr>
    </w:p>
    <w:p>
      <w:pPr>
        <w:ind w:right="20" w:firstLine="891"/>
        <w:spacing w:after="0" w:line="293" w:lineRule="auto"/>
        <w:rPr>
          <w:sz w:val="20"/>
          <w:szCs w:val="20"/>
          <w:color w:val="auto"/>
        </w:rPr>
      </w:pPr>
      <w:r>
        <w:rPr>
          <w:rFonts w:ascii="Arial" w:cs="Arial" w:eastAsia="Arial" w:hAnsi="Arial"/>
          <w:sz w:val="16"/>
          <w:szCs w:val="16"/>
          <w:color w:val="auto"/>
        </w:rPr>
        <w:t>On March 12, 2021, a putative class action complaint was filed in the United States District Court for the Eastern District of North Carolina. The sole class representative in the suit is one individual alleging a contract, combination or conspiracy between and among the Company, Live Oak Bancshares, Inc. and Apiture LLC not to solicit or hire each other’s employees in violation of Section 1 of the Sherman Act and N.C. Gen Stat. §§ 75-1 and 75-2. The complaint seeks treble damages and additional remedies, including restitution, disgorgement, reasonable attorneys’ fees, the costs of the suit, and pre-judgment and post judgment interest. The complaint does not allege any specific damages. Although there can be no assurance with respect to the outcome of this matter, the Company believes the alleged claims are not meritorious and intends to defend itself vigorously.</w:t>
      </w:r>
    </w:p>
    <w:p>
      <w:pPr>
        <w:spacing w:after="0" w:line="164" w:lineRule="exact"/>
        <w:rPr>
          <w:sz w:val="20"/>
          <w:szCs w:val="20"/>
          <w:color w:val="auto"/>
        </w:rPr>
      </w:pPr>
    </w:p>
    <w:p>
      <w:pPr>
        <w:jc w:val="both"/>
        <w:ind w:right="40" w:firstLine="891"/>
        <w:spacing w:after="0" w:line="263" w:lineRule="auto"/>
        <w:rPr>
          <w:sz w:val="20"/>
          <w:szCs w:val="20"/>
          <w:color w:val="auto"/>
        </w:rPr>
      </w:pPr>
      <w:r>
        <w:rPr>
          <w:rFonts w:ascii="Arial" w:cs="Arial" w:eastAsia="Arial" w:hAnsi="Arial"/>
          <w:sz w:val="18"/>
          <w:szCs w:val="18"/>
          <w:color w:val="auto"/>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us because of the related expenses, diversion of management resources, and other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There are no material changes to the risk factors in the Company's Annual Report on Form 10-K for the fiscal year ended January 31, 2021 filed with the SEC on March 31, 2021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IPO</w:t>
      </w:r>
    </w:p>
    <w:p>
      <w:pPr>
        <w:spacing w:after="0" w:line="225" w:lineRule="exact"/>
        <w:rPr>
          <w:sz w:val="20"/>
          <w:szCs w:val="20"/>
          <w:color w:val="auto"/>
        </w:rPr>
      </w:pPr>
    </w:p>
    <w:p>
      <w:pPr>
        <w:ind w:firstLine="891"/>
        <w:spacing w:after="0" w:line="301" w:lineRule="auto"/>
        <w:rPr>
          <w:sz w:val="20"/>
          <w:szCs w:val="20"/>
          <w:color w:val="auto"/>
        </w:rPr>
      </w:pPr>
      <w:r>
        <w:rPr>
          <w:rFonts w:ascii="Arial" w:cs="Arial" w:eastAsia="Arial" w:hAnsi="Arial"/>
          <w:sz w:val="16"/>
          <w:szCs w:val="16"/>
          <w:color w:val="auto"/>
        </w:rPr>
        <w:t>On July 16, 2020, we completed our IPO, selling 9,269,000 shares of our common stock at a price of $31.00 per share (including shares subject to the underwriters’ over-allotment option) for an aggregate price of $287.3 million. The offer and sale of the shares in the IPO was registered under the Securities Act pursuant to a registration statement on Form S-1 (File Nos. 333-239335 and 333-239844), which was declared effective by the SEC on July 13, 2020. We raised approximately $268.4 million in net proceeds after deducting underwriting discounts and commissions of approximately $18.9 million.</w:t>
      </w:r>
    </w:p>
    <w:p>
      <w:pPr>
        <w:spacing w:after="0" w:line="157"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the IPO dated July 13, 2020 and filed with the SEC on July 14, 2020, pursuant to Rule 424(b) of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w w:val="93"/>
              </w:rPr>
              <w:t>Incorporated by Reference</w:t>
            </w:r>
          </w:p>
        </w:tc>
        <w:tc>
          <w:tcPr>
            <w:tcW w:w="132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98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60" w:type="dxa"/>
            <w:vAlign w:val="bottom"/>
            <w:gridSpan w:val="15"/>
            <w:vMerge w:val="restart"/>
          </w:tcPr>
          <w:p>
            <w:pPr>
              <w:ind w:left="140"/>
              <w:spacing w:after="0"/>
              <w:rPr>
                <w:sz w:val="20"/>
                <w:szCs w:val="20"/>
                <w:color w:val="auto"/>
              </w:rPr>
            </w:pPr>
            <w:r>
              <w:rPr>
                <w:rFonts w:ascii="Arial" w:cs="Arial" w:eastAsia="Arial" w:hAnsi="Arial"/>
                <w:sz w:val="14"/>
                <w:szCs w:val="14"/>
                <w:b w:val="1"/>
                <w:bCs w:val="1"/>
                <w:color w:val="auto"/>
              </w:rPr>
              <w:t>Description of Exhibit</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1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320" w:type="dxa"/>
            <w:vAlign w:val="bottom"/>
            <w:vMerge w:val="restart"/>
          </w:tcPr>
          <w:p>
            <w:pPr>
              <w:jc w:val="center"/>
              <w:ind w:right="235"/>
              <w:spacing w:after="0"/>
              <w:rPr>
                <w:sz w:val="20"/>
                <w:szCs w:val="20"/>
                <w:color w:val="auto"/>
              </w:rPr>
            </w:pPr>
            <w:r>
              <w:rPr>
                <w:rFonts w:ascii="Arial" w:cs="Arial" w:eastAsia="Arial" w:hAnsi="Arial"/>
                <w:sz w:val="14"/>
                <w:szCs w:val="14"/>
                <w:b w:val="1"/>
                <w:bCs w:val="1"/>
                <w:color w:val="auto"/>
                <w:w w:val="94"/>
              </w:rPr>
              <w:t>Filing Date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88"/>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15"/>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20"/>
              <w:spacing w:after="0" w:line="184" w:lineRule="exact"/>
              <w:rPr>
                <w:sz w:val="20"/>
                <w:szCs w:val="20"/>
                <w:color w:val="auto"/>
              </w:rPr>
            </w:pPr>
            <w:r>
              <w:rPr>
                <w:rFonts w:ascii="Arial" w:cs="Arial" w:eastAsia="Arial" w:hAnsi="Arial"/>
                <w:sz w:val="18"/>
                <w:szCs w:val="18"/>
                <w:color w:val="auto"/>
              </w:rPr>
              <w:t>3.1</w:t>
            </w:r>
          </w:p>
        </w:tc>
        <w:tc>
          <w:tcPr>
            <w:tcW w:w="4460" w:type="dxa"/>
            <w:vAlign w:val="bottom"/>
            <w:gridSpan w:val="18"/>
          </w:tcPr>
          <w:p>
            <w:pPr>
              <w:spacing w:after="0" w:line="184"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Form of Amended and Restated Certificate of Incorporation</w:t>
              </w:r>
            </w:hyperlink>
          </w:p>
        </w:tc>
        <w:tc>
          <w:tcPr>
            <w:tcW w:w="720" w:type="dxa"/>
            <w:vAlign w:val="bottom"/>
          </w:tcPr>
          <w:p>
            <w:pPr>
              <w:jc w:val="center"/>
              <w:spacing w:after="0" w:line="184" w:lineRule="exact"/>
              <w:rPr>
                <w:sz w:val="20"/>
                <w:szCs w:val="20"/>
                <w:color w:val="auto"/>
              </w:rPr>
            </w:pPr>
            <w:r>
              <w:rPr>
                <w:rFonts w:ascii="Arial" w:cs="Arial" w:eastAsia="Arial" w:hAnsi="Arial"/>
                <w:sz w:val="18"/>
                <w:szCs w:val="18"/>
                <w:color w:val="auto"/>
                <w:w w:val="93"/>
              </w:rPr>
              <w:t>S-1/A</w:t>
            </w:r>
          </w:p>
        </w:tc>
        <w:tc>
          <w:tcPr>
            <w:tcW w:w="1180" w:type="dxa"/>
            <w:vAlign w:val="bottom"/>
          </w:tcPr>
          <w:p>
            <w:pPr>
              <w:jc w:val="center"/>
              <w:spacing w:after="0" w:line="184" w:lineRule="exact"/>
              <w:rPr>
                <w:sz w:val="20"/>
                <w:szCs w:val="20"/>
                <w:color w:val="auto"/>
              </w:rPr>
            </w:pPr>
            <w:r>
              <w:rPr>
                <w:rFonts w:ascii="Arial" w:cs="Arial" w:eastAsia="Arial" w:hAnsi="Arial"/>
                <w:sz w:val="18"/>
                <w:szCs w:val="18"/>
                <w:color w:val="auto"/>
                <w:w w:val="89"/>
              </w:rPr>
              <w:t>333-239335</w:t>
            </w:r>
          </w:p>
        </w:tc>
        <w:tc>
          <w:tcPr>
            <w:tcW w:w="1140" w:type="dxa"/>
            <w:vAlign w:val="bottom"/>
          </w:tcPr>
          <w:p>
            <w:pPr>
              <w:jc w:val="center"/>
              <w:ind w:right="235"/>
              <w:spacing w:after="0" w:line="184" w:lineRule="exact"/>
              <w:rPr>
                <w:sz w:val="20"/>
                <w:szCs w:val="20"/>
                <w:color w:val="auto"/>
              </w:rPr>
            </w:pPr>
            <w:r>
              <w:rPr>
                <w:rFonts w:ascii="Arial" w:cs="Arial" w:eastAsia="Arial" w:hAnsi="Arial"/>
                <w:sz w:val="18"/>
                <w:szCs w:val="18"/>
                <w:color w:val="auto"/>
                <w:w w:val="87"/>
              </w:rPr>
              <w:t>3.1</w:t>
            </w:r>
          </w:p>
        </w:tc>
        <w:tc>
          <w:tcPr>
            <w:tcW w:w="1320" w:type="dxa"/>
            <w:vAlign w:val="bottom"/>
          </w:tcPr>
          <w:p>
            <w:pPr>
              <w:jc w:val="center"/>
              <w:ind w:right="235"/>
              <w:spacing w:after="0" w:line="184" w:lineRule="exact"/>
              <w:rPr>
                <w:sz w:val="20"/>
                <w:szCs w:val="20"/>
                <w:color w:val="auto"/>
              </w:rPr>
            </w:pPr>
            <w:r>
              <w:rPr>
                <w:rFonts w:ascii="Arial" w:cs="Arial" w:eastAsia="Arial" w:hAnsi="Arial"/>
                <w:sz w:val="18"/>
                <w:szCs w:val="18"/>
                <w:color w:val="auto"/>
                <w:w w:val="90"/>
              </w:rPr>
              <w:t>July 6, 2020</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3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of nCino, Inc.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3.2</w:t>
            </w:r>
          </w:p>
        </w:tc>
        <w:tc>
          <w:tcPr>
            <w:tcW w:w="3940" w:type="dxa"/>
            <w:vAlign w:val="bottom"/>
            <w:tcBorders>
              <w:bottom w:val="single" w:sz="8" w:color="0000FF"/>
            </w:tcBorders>
            <w:gridSpan w:val="7"/>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Form of Amended and Restated Bylaws of nCino, Inc.</w:t>
              </w:r>
            </w:hyperlink>
          </w:p>
        </w:tc>
        <w:tc>
          <w:tcPr>
            <w:tcW w:w="520" w:type="dxa"/>
            <w:vAlign w:val="bottom"/>
            <w:gridSpan w:val="11"/>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333-239335</w:t>
            </w:r>
          </w:p>
        </w:tc>
        <w:tc>
          <w:tcPr>
            <w:tcW w:w="1140" w:type="dxa"/>
            <w:vAlign w:val="bottom"/>
          </w:tcPr>
          <w:p>
            <w:pPr>
              <w:jc w:val="center"/>
              <w:ind w:right="235"/>
              <w:spacing w:after="0"/>
              <w:rPr>
                <w:sz w:val="20"/>
                <w:szCs w:val="20"/>
                <w:color w:val="auto"/>
              </w:rPr>
            </w:pPr>
            <w:r>
              <w:rPr>
                <w:rFonts w:ascii="Arial" w:cs="Arial" w:eastAsia="Arial" w:hAnsi="Arial"/>
                <w:sz w:val="18"/>
                <w:szCs w:val="18"/>
                <w:color w:val="auto"/>
                <w:w w:val="87"/>
              </w:rPr>
              <w:t>3.2</w:t>
            </w:r>
          </w:p>
        </w:tc>
        <w:tc>
          <w:tcPr>
            <w:tcW w:w="1320" w:type="dxa"/>
            <w:vAlign w:val="bottom"/>
          </w:tcPr>
          <w:p>
            <w:pPr>
              <w:jc w:val="center"/>
              <w:ind w:right="235"/>
              <w:spacing w:after="0"/>
              <w:rPr>
                <w:sz w:val="20"/>
                <w:szCs w:val="20"/>
                <w:color w:val="auto"/>
              </w:rPr>
            </w:pPr>
            <w:r>
              <w:rPr>
                <w:rFonts w:ascii="Arial" w:cs="Arial" w:eastAsia="Arial" w:hAnsi="Arial"/>
                <w:sz w:val="18"/>
                <w:szCs w:val="18"/>
                <w:color w:val="auto"/>
                <w:w w:val="90"/>
              </w:rPr>
              <w:t>July 6, 2020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10.1</w:t>
            </w:r>
          </w:p>
        </w:tc>
        <w:tc>
          <w:tcPr>
            <w:tcW w:w="4460" w:type="dxa"/>
            <w:vAlign w:val="bottom"/>
            <w:gridSpan w:val="18"/>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Second Amendment to Office Lease by and between nCino,</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320" w:type="dxa"/>
            <w:vAlign w:val="bottom"/>
            <w:tcBorders>
              <w:top w:val="single" w:sz="8" w:color="0000FF"/>
            </w:tcBorders>
            <w:gridSpan w:val="13"/>
          </w:tcPr>
          <w:p>
            <w:pPr>
              <w:spacing w:after="0" w:line="156" w:lineRule="exact"/>
              <w:rPr>
                <w:rFonts w:ascii="Arial" w:cs="Arial" w:eastAsia="Arial" w:hAnsi="Arial"/>
                <w:sz w:val="18"/>
                <w:szCs w:val="18"/>
                <w:color w:val="0000FF"/>
                <w:w w:val="95"/>
              </w:rPr>
            </w:pPr>
            <w:hyperlink w:anchor="page40">
              <w:r>
                <w:rPr>
                  <w:rFonts w:ascii="Arial" w:cs="Arial" w:eastAsia="Arial" w:hAnsi="Arial"/>
                  <w:sz w:val="18"/>
                  <w:szCs w:val="18"/>
                  <w:color w:val="0000FF"/>
                  <w:w w:val="95"/>
                </w:rPr>
                <w:t>Inc. and Cloud Real Estate Holdings, LLC, dated April 5,</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40">
              <w:r>
                <w:rPr>
                  <w:rFonts w:ascii="Arial" w:cs="Arial" w:eastAsia="Arial" w:hAnsi="Arial"/>
                  <w:sz w:val="18"/>
                  <w:szCs w:val="18"/>
                  <w:color w:val="0000FF"/>
                  <w:w w:val="84"/>
                </w:rPr>
                <w:t>2021</w:t>
              </w:r>
            </w:hyperlink>
          </w:p>
        </w:tc>
        <w:tc>
          <w:tcPr>
            <w:tcW w:w="6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10.2</w:t>
            </w:r>
          </w:p>
        </w:tc>
        <w:tc>
          <w:tcPr>
            <w:tcW w:w="4460" w:type="dxa"/>
            <w:vAlign w:val="bottom"/>
            <w:gridSpan w:val="18"/>
          </w:tcPr>
          <w:p>
            <w:pPr>
              <w:spacing w:after="0"/>
              <w:rPr>
                <w:rFonts w:ascii="Arial" w:cs="Arial" w:eastAsia="Arial" w:hAnsi="Arial"/>
                <w:sz w:val="18"/>
                <w:szCs w:val="18"/>
                <w:color w:val="0000FF"/>
                <w:w w:val="97"/>
              </w:rPr>
            </w:pPr>
            <w:hyperlink r:id="rId63">
              <w:r>
                <w:rPr>
                  <w:rFonts w:ascii="Arial" w:cs="Arial" w:eastAsia="Arial" w:hAnsi="Arial"/>
                  <w:sz w:val="18"/>
                  <w:szCs w:val="18"/>
                  <w:color w:val="0000FF"/>
                  <w:w w:val="97"/>
                </w:rPr>
                <w:t>Lease by and between nCino, Inc. and Cloud Real Estate</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001-39380</w:t>
            </w:r>
          </w:p>
        </w:tc>
        <w:tc>
          <w:tcPr>
            <w:tcW w:w="1140" w:type="dxa"/>
            <w:vAlign w:val="bottom"/>
          </w:tcPr>
          <w:p>
            <w:pPr>
              <w:jc w:val="center"/>
              <w:ind w:right="255"/>
              <w:spacing w:after="0"/>
              <w:rPr>
                <w:sz w:val="20"/>
                <w:szCs w:val="20"/>
                <w:color w:val="auto"/>
              </w:rPr>
            </w:pPr>
            <w:r>
              <w:rPr>
                <w:rFonts w:ascii="Arial" w:cs="Arial" w:eastAsia="Arial" w:hAnsi="Arial"/>
                <w:sz w:val="18"/>
                <w:szCs w:val="18"/>
                <w:color w:val="auto"/>
                <w:w w:val="91"/>
              </w:rPr>
              <w:t>10.1</w:t>
            </w:r>
          </w:p>
        </w:tc>
        <w:tc>
          <w:tcPr>
            <w:tcW w:w="1320" w:type="dxa"/>
            <w:vAlign w:val="bottom"/>
          </w:tcPr>
          <w:p>
            <w:pPr>
              <w:jc w:val="center"/>
              <w:ind w:right="235"/>
              <w:spacing w:after="0"/>
              <w:rPr>
                <w:sz w:val="20"/>
                <w:szCs w:val="20"/>
                <w:color w:val="auto"/>
              </w:rPr>
            </w:pPr>
            <w:r>
              <w:rPr>
                <w:rFonts w:ascii="Arial" w:cs="Arial" w:eastAsia="Arial" w:hAnsi="Arial"/>
                <w:sz w:val="18"/>
                <w:szCs w:val="18"/>
                <w:color w:val="auto"/>
                <w:w w:val="94"/>
              </w:rPr>
              <w:t>April 7, 2021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1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Holdings, LLC, dated April 5, 2021</w:t>
              </w:r>
            </w:hyperlink>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31.1</w:t>
            </w:r>
          </w:p>
        </w:tc>
        <w:tc>
          <w:tcPr>
            <w:tcW w:w="4460" w:type="dxa"/>
            <w:vAlign w:val="bottom"/>
            <w:tcBorders>
              <w:bottom w:val="single" w:sz="8" w:color="0000FF"/>
            </w:tcBorders>
            <w:gridSpan w:val="18"/>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Certification of Principal Executive Officer Pursuant to Rules</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460" w:type="dxa"/>
            <w:vAlign w:val="bottom"/>
            <w:gridSpan w:val="18"/>
          </w:tcPr>
          <w:p>
            <w:pPr>
              <w:spacing w:after="0" w:line="156" w:lineRule="exact"/>
              <w:rPr>
                <w:rFonts w:ascii="Arial" w:cs="Arial" w:eastAsia="Arial" w:hAnsi="Arial"/>
                <w:sz w:val="18"/>
                <w:szCs w:val="18"/>
                <w:color w:val="0000FF"/>
                <w:w w:val="93"/>
              </w:rPr>
            </w:pPr>
            <w:hyperlink w:anchor="page45">
              <w:r>
                <w:rPr>
                  <w:rFonts w:ascii="Arial" w:cs="Arial" w:eastAsia="Arial" w:hAnsi="Arial"/>
                  <w:sz w:val="18"/>
                  <w:szCs w:val="18"/>
                  <w:color w:val="0000FF"/>
                  <w:w w:val="93"/>
                </w:rPr>
                <w:t>13a-14(a) and 15d-14(a) under the Securities Exchange Act</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300" w:type="dxa"/>
            <w:vAlign w:val="bottom"/>
            <w:tcBorders>
              <w:top w:val="single" w:sz="8" w:color="0000FF"/>
            </w:tcBorders>
            <w:gridSpan w:val="12"/>
          </w:tcPr>
          <w:p>
            <w:pPr>
              <w:spacing w:after="0" w:line="156" w:lineRule="exact"/>
              <w:rPr>
                <w:rFonts w:ascii="Arial" w:cs="Arial" w:eastAsia="Arial" w:hAnsi="Arial"/>
                <w:sz w:val="18"/>
                <w:szCs w:val="18"/>
                <w:color w:val="0000FF"/>
                <w:w w:val="87"/>
              </w:rPr>
            </w:pPr>
            <w:hyperlink w:anchor="page45">
              <w:r>
                <w:rPr>
                  <w:rFonts w:ascii="Arial" w:cs="Arial" w:eastAsia="Arial" w:hAnsi="Arial"/>
                  <w:sz w:val="18"/>
                  <w:szCs w:val="18"/>
                  <w:color w:val="0000FF"/>
                  <w:w w:val="87"/>
                </w:rPr>
                <w:t>of 1934, as Adopted Pursuant to Section 302 of the Sarbanes</w:t>
              </w:r>
            </w:hyperlink>
          </w:p>
        </w:tc>
        <w:tc>
          <w:tcPr>
            <w:tcW w:w="160" w:type="dxa"/>
            <w:vAlign w:val="bottom"/>
            <w:gridSpan w:val="6"/>
          </w:tcPr>
          <w:p>
            <w:pPr>
              <w:jc w:val="right"/>
              <w:ind w:right="20"/>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w:anchor="page45">
              <w:r>
                <w:rPr>
                  <w:rFonts w:ascii="Arial" w:cs="Arial" w:eastAsia="Arial" w:hAnsi="Arial"/>
                  <w:sz w:val="18"/>
                  <w:szCs w:val="18"/>
                  <w:color w:val="0000FF"/>
                  <w:w w:val="93"/>
                </w:rPr>
                <w:t>Oxley Act of 2002.</w:t>
              </w:r>
            </w:hyperlink>
          </w:p>
        </w:tc>
        <w:tc>
          <w:tcPr>
            <w:tcW w:w="30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31.2</w:t>
            </w:r>
          </w:p>
        </w:tc>
        <w:tc>
          <w:tcPr>
            <w:tcW w:w="4460" w:type="dxa"/>
            <w:vAlign w:val="bottom"/>
            <w:gridSpan w:val="18"/>
          </w:tcPr>
          <w:p>
            <w:pPr>
              <w:spacing w:after="0"/>
              <w:rPr>
                <w:rFonts w:ascii="Arial" w:cs="Arial" w:eastAsia="Arial" w:hAnsi="Arial"/>
                <w:sz w:val="18"/>
                <w:szCs w:val="18"/>
                <w:color w:val="0000FF"/>
                <w:w w:val="94"/>
              </w:rPr>
            </w:pPr>
            <w:hyperlink w:anchor="page47">
              <w:r>
                <w:rPr>
                  <w:rFonts w:ascii="Arial" w:cs="Arial" w:eastAsia="Arial" w:hAnsi="Arial"/>
                  <w:sz w:val="18"/>
                  <w:szCs w:val="18"/>
                  <w:color w:val="0000FF"/>
                  <w:w w:val="94"/>
                </w:rPr>
                <w:t>Certification of Principal Financial Officer Pursuant to Rules</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40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w:anchor="page47">
              <w:r>
                <w:rPr>
                  <w:rFonts w:ascii="Arial" w:cs="Arial" w:eastAsia="Arial" w:hAnsi="Arial"/>
                  <w:sz w:val="18"/>
                  <w:szCs w:val="18"/>
                  <w:color w:val="0000FF"/>
                  <w:w w:val="91"/>
                </w:rPr>
                <w:t>13a-14(a) and 15d-14(a) under the Securities Exchange Act</w:t>
              </w:r>
            </w:hyperlink>
          </w:p>
        </w:tc>
        <w:tc>
          <w:tcPr>
            <w:tcW w:w="6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300" w:type="dxa"/>
            <w:vAlign w:val="bottom"/>
            <w:tcBorders>
              <w:top w:val="single" w:sz="8" w:color="0000FF"/>
            </w:tcBorders>
            <w:gridSpan w:val="12"/>
          </w:tcPr>
          <w:p>
            <w:pPr>
              <w:spacing w:after="0" w:line="156" w:lineRule="exact"/>
              <w:rPr>
                <w:rFonts w:ascii="Arial" w:cs="Arial" w:eastAsia="Arial" w:hAnsi="Arial"/>
                <w:sz w:val="18"/>
                <w:szCs w:val="18"/>
                <w:color w:val="0000FF"/>
                <w:w w:val="87"/>
              </w:rPr>
            </w:pPr>
            <w:hyperlink w:anchor="page47">
              <w:r>
                <w:rPr>
                  <w:rFonts w:ascii="Arial" w:cs="Arial" w:eastAsia="Arial" w:hAnsi="Arial"/>
                  <w:sz w:val="18"/>
                  <w:szCs w:val="18"/>
                  <w:color w:val="0000FF"/>
                  <w:w w:val="87"/>
                </w:rPr>
                <w:t>of 1934, as Adopted Pursuant to Section 302 of the Sarbanes</w:t>
              </w:r>
            </w:hyperlink>
          </w:p>
        </w:tc>
        <w:tc>
          <w:tcPr>
            <w:tcW w:w="160" w:type="dxa"/>
            <w:vAlign w:val="bottom"/>
            <w:gridSpan w:val="6"/>
          </w:tcPr>
          <w:p>
            <w:pPr>
              <w:jc w:val="right"/>
              <w:ind w:right="20"/>
              <w:spacing w:after="0" w:line="156" w:lineRule="exact"/>
              <w:rPr>
                <w:rFonts w:ascii="Arial" w:cs="Arial" w:eastAsia="Arial" w:hAnsi="Arial"/>
                <w:sz w:val="18"/>
                <w:szCs w:val="18"/>
                <w:color w:val="0000FF"/>
              </w:rPr>
            </w:pPr>
            <w:hyperlink w:anchor="page47">
              <w:r>
                <w:rPr>
                  <w:rFonts w:ascii="Arial" w:cs="Arial" w:eastAsia="Arial" w:hAnsi="Arial"/>
                  <w:sz w:val="18"/>
                  <w:szCs w:val="18"/>
                  <w:color w:val="0000FF"/>
                </w:rPr>
                <w:t>-</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w:anchor="page47">
              <w:r>
                <w:rPr>
                  <w:rFonts w:ascii="Arial" w:cs="Arial" w:eastAsia="Arial" w:hAnsi="Arial"/>
                  <w:sz w:val="18"/>
                  <w:szCs w:val="18"/>
                  <w:color w:val="0000FF"/>
                  <w:w w:val="93"/>
                </w:rPr>
                <w:t>Oxley Act of 2002.</w:t>
              </w:r>
            </w:hyperlink>
          </w:p>
        </w:tc>
        <w:tc>
          <w:tcPr>
            <w:tcW w:w="30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32.1*</w:t>
            </w:r>
          </w:p>
        </w:tc>
        <w:tc>
          <w:tcPr>
            <w:tcW w:w="4460" w:type="dxa"/>
            <w:vAlign w:val="bottom"/>
            <w:gridSpan w:val="18"/>
          </w:tcPr>
          <w:p>
            <w:pPr>
              <w:spacing w:after="0"/>
              <w:rPr>
                <w:rFonts w:ascii="Arial" w:cs="Arial" w:eastAsia="Arial" w:hAnsi="Arial"/>
                <w:sz w:val="18"/>
                <w:szCs w:val="18"/>
                <w:color w:val="0000FF"/>
                <w:w w:val="98"/>
              </w:rPr>
            </w:pPr>
            <w:hyperlink w:anchor="page49">
              <w:r>
                <w:rPr>
                  <w:rFonts w:ascii="Arial" w:cs="Arial" w:eastAsia="Arial" w:hAnsi="Arial"/>
                  <w:sz w:val="18"/>
                  <w:szCs w:val="18"/>
                  <w:color w:val="0000FF"/>
                  <w:w w:val="98"/>
                </w:rPr>
                <w:t>Certification of Principal Executive Officer Pursuant to 18</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20" w:type="dxa"/>
            <w:vAlign w:val="bottom"/>
            <w:tcBorders>
              <w:top w:val="single" w:sz="8" w:color="0000FF"/>
            </w:tcBorders>
            <w:gridSpan w:val="11"/>
          </w:tcPr>
          <w:p>
            <w:pPr>
              <w:spacing w:after="0" w:line="156"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U.S.C. Section 1350, as Adopted Pursuant to Section 906</w:t>
              </w:r>
            </w:hyperlink>
          </w:p>
        </w:tc>
        <w:tc>
          <w:tcPr>
            <w:tcW w:w="240" w:type="dxa"/>
            <w:vAlign w:val="bottom"/>
            <w:gridSpan w:val="7"/>
          </w:tcPr>
          <w:p>
            <w:pPr>
              <w:jc w:val="right"/>
              <w:ind w:right="120"/>
              <w:spacing w:after="0" w:line="155" w:lineRule="exact"/>
              <w:rPr>
                <w:rFonts w:ascii="Arial" w:cs="Arial" w:eastAsia="Arial" w:hAnsi="Arial"/>
                <w:sz w:val="17"/>
                <w:szCs w:val="17"/>
                <w:color w:val="0000FF"/>
                <w:w w:val="70"/>
              </w:rPr>
            </w:pPr>
            <w:hyperlink w:anchor="page49">
              <w:r>
                <w:rPr>
                  <w:rFonts w:ascii="Arial" w:cs="Arial" w:eastAsia="Arial" w:hAnsi="Arial"/>
                  <w:sz w:val="17"/>
                  <w:szCs w:val="17"/>
                  <w:color w:val="0000FF"/>
                  <w:w w:val="70"/>
                </w:rPr>
                <w:t>of</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the Sarbanes-Oxley Act of 2002.</w:t>
              </w:r>
            </w:hyperlink>
          </w:p>
        </w:tc>
        <w:tc>
          <w:tcPr>
            <w:tcW w:w="1980" w:type="dxa"/>
            <w:vAlign w:val="bottom"/>
            <w:tcBorders>
              <w:top w:val="single" w:sz="8" w:color="0000FF"/>
            </w:tcBorders>
            <w:gridSpan w:val="10"/>
          </w:tcPr>
          <w:p>
            <w:pPr>
              <w:spacing w:after="0"/>
              <w:rPr>
                <w:sz w:val="13"/>
                <w:szCs w:val="13"/>
                <w:color w:val="auto"/>
              </w:rPr>
            </w:pPr>
          </w:p>
        </w:tc>
        <w:tc>
          <w:tcPr>
            <w:tcW w:w="10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32.2*</w:t>
            </w:r>
          </w:p>
        </w:tc>
        <w:tc>
          <w:tcPr>
            <w:tcW w:w="4460" w:type="dxa"/>
            <w:vAlign w:val="bottom"/>
            <w:gridSpan w:val="18"/>
          </w:tcPr>
          <w:p>
            <w:pP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Certification of Principal Financial Officer Pursuant to 18</w:t>
              </w:r>
            </w:hyperlink>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60" w:type="dxa"/>
            <w:vAlign w:val="bottom"/>
            <w:tcBorders>
              <w:top w:val="single" w:sz="8" w:color="0000FF"/>
            </w:tcBorders>
            <w:gridSpan w:val="10"/>
          </w:tcPr>
          <w:p>
            <w:pPr>
              <w:spacing w:after="0" w:line="156"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U.S.C. Section 1350, as Adopted Pursuant to Section 906</w:t>
              </w:r>
            </w:hyperlink>
          </w:p>
        </w:tc>
        <w:tc>
          <w:tcPr>
            <w:tcW w:w="300" w:type="dxa"/>
            <w:vAlign w:val="bottom"/>
            <w:gridSpan w:val="8"/>
          </w:tcPr>
          <w:p>
            <w:pPr>
              <w:jc w:val="right"/>
              <w:ind w:right="120"/>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of</w:t>
              </w:r>
            </w:hyperlink>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3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the Sarbanes-Oxley Act of 2002.</w:t>
              </w:r>
            </w:hyperlink>
          </w:p>
        </w:tc>
        <w:tc>
          <w:tcPr>
            <w:tcW w:w="10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980" w:type="dxa"/>
            <w:vAlign w:val="bottom"/>
          </w:tcPr>
          <w:p>
            <w:pPr>
              <w:ind w:left="40"/>
              <w:spacing w:after="0"/>
              <w:rPr>
                <w:sz w:val="20"/>
                <w:szCs w:val="20"/>
                <w:color w:val="auto"/>
              </w:rPr>
            </w:pPr>
            <w:r>
              <w:rPr>
                <w:rFonts w:ascii="Arial" w:cs="Arial" w:eastAsia="Arial" w:hAnsi="Arial"/>
                <w:sz w:val="18"/>
                <w:szCs w:val="18"/>
                <w:color w:val="auto"/>
              </w:rPr>
              <w:t>101.INS</w:t>
            </w:r>
          </w:p>
        </w:tc>
        <w:tc>
          <w:tcPr>
            <w:tcW w:w="23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2100" w:type="dxa"/>
            <w:vAlign w:val="bottom"/>
            <w:gridSpan w:val="14"/>
          </w:tcPr>
          <w:p>
            <w:pPr>
              <w:spacing w:after="0"/>
              <w:rPr>
                <w:sz w:val="21"/>
                <w:szCs w:val="21"/>
                <w:color w:val="auto"/>
              </w:rPr>
            </w:pPr>
          </w:p>
        </w:tc>
        <w:tc>
          <w:tcPr>
            <w:tcW w:w="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101.SCH</w:t>
            </w:r>
          </w:p>
        </w:tc>
        <w:tc>
          <w:tcPr>
            <w:tcW w:w="446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sz w:val="20"/>
                <w:szCs w:val="20"/>
                <w:color w:val="auto"/>
              </w:rPr>
            </w:pPr>
            <w:r>
              <w:rPr>
                <w:rFonts w:ascii="Arial" w:cs="Arial" w:eastAsia="Arial" w:hAnsi="Arial"/>
                <w:sz w:val="18"/>
                <w:szCs w:val="18"/>
                <w:color w:val="auto"/>
              </w:rPr>
              <w:t>101.CAL</w:t>
            </w:r>
          </w:p>
        </w:tc>
        <w:tc>
          <w:tcPr>
            <w:tcW w:w="4460" w:type="dxa"/>
            <w:vAlign w:val="bottom"/>
            <w:gridSpan w:val="18"/>
          </w:tcPr>
          <w:p>
            <w:pPr>
              <w:spacing w:after="0"/>
              <w:rPr>
                <w:sz w:val="20"/>
                <w:szCs w:val="20"/>
                <w:color w:val="auto"/>
              </w:rPr>
            </w:pPr>
            <w:r>
              <w:rPr>
                <w:rFonts w:ascii="Arial" w:cs="Arial" w:eastAsia="Arial" w:hAnsi="Arial"/>
                <w:sz w:val="18"/>
                <w:szCs w:val="18"/>
                <w:color w:val="auto"/>
                <w:w w:val="92"/>
              </w:rPr>
              <w:t>XBRL Taxonomy Extension Calculation Linkbase 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101.DEF</w:t>
            </w:r>
          </w:p>
        </w:tc>
        <w:tc>
          <w:tcPr>
            <w:tcW w:w="4460" w:type="dxa"/>
            <w:vAlign w:val="bottom"/>
            <w:gridSpan w:val="18"/>
          </w:tcPr>
          <w:p>
            <w:pPr>
              <w:spacing w:after="0"/>
              <w:rPr>
                <w:sz w:val="20"/>
                <w:szCs w:val="20"/>
                <w:color w:val="auto"/>
              </w:rPr>
            </w:pPr>
            <w:r>
              <w:rPr>
                <w:rFonts w:ascii="Arial" w:cs="Arial" w:eastAsia="Arial" w:hAnsi="Arial"/>
                <w:sz w:val="18"/>
                <w:szCs w:val="18"/>
                <w:color w:val="auto"/>
                <w:w w:val="95"/>
              </w:rPr>
              <w:t>XBRL Taxonomy Extension Definition Linkbase 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101.LAB</w:t>
            </w:r>
          </w:p>
        </w:tc>
        <w:tc>
          <w:tcPr>
            <w:tcW w:w="446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980" w:type="dxa"/>
            <w:vAlign w:val="bottom"/>
          </w:tcPr>
          <w:p>
            <w:pPr>
              <w:ind w:left="40"/>
              <w:spacing w:after="0" w:line="176" w:lineRule="exact"/>
              <w:rPr>
                <w:sz w:val="20"/>
                <w:szCs w:val="20"/>
                <w:color w:val="auto"/>
              </w:rPr>
            </w:pPr>
            <w:r>
              <w:rPr>
                <w:rFonts w:ascii="Arial" w:cs="Arial" w:eastAsia="Arial" w:hAnsi="Arial"/>
                <w:sz w:val="18"/>
                <w:szCs w:val="18"/>
                <w:color w:val="auto"/>
              </w:rPr>
              <w:t>101.PRE</w:t>
            </w:r>
          </w:p>
        </w:tc>
        <w:tc>
          <w:tcPr>
            <w:tcW w:w="4460" w:type="dxa"/>
            <w:vAlign w:val="bottom"/>
            <w:gridSpan w:val="18"/>
          </w:tcPr>
          <w:p>
            <w:pPr>
              <w:spacing w:after="0" w:line="176" w:lineRule="exact"/>
              <w:rPr>
                <w:sz w:val="20"/>
                <w:szCs w:val="20"/>
                <w:color w:val="auto"/>
              </w:rPr>
            </w:pPr>
            <w:r>
              <w:rPr>
                <w:rFonts w:ascii="Arial" w:cs="Arial" w:eastAsia="Arial" w:hAnsi="Arial"/>
                <w:sz w:val="18"/>
                <w:szCs w:val="18"/>
                <w:color w:val="auto"/>
              </w:rPr>
              <w:t>XBRL Taxonomy Extension Presentation Linkbase</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46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4460" w:type="dxa"/>
            <w:vAlign w:val="bottom"/>
            <w:gridSpan w:val="18"/>
          </w:tcPr>
          <w:p>
            <w:pPr>
              <w:spacing w:after="0" w:line="176" w:lineRule="exact"/>
              <w:rPr>
                <w:sz w:val="20"/>
                <w:szCs w:val="20"/>
                <w:color w:val="auto"/>
              </w:rPr>
            </w:pPr>
            <w:r>
              <w:rPr>
                <w:rFonts w:ascii="Arial" w:cs="Arial" w:eastAsia="Arial" w:hAnsi="Arial"/>
                <w:sz w:val="18"/>
                <w:szCs w:val="18"/>
                <w:color w:val="auto"/>
                <w:w w:val="91"/>
              </w:rPr>
              <w:t>Cover Page Interactive Data File (embedded within the Inline</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460" w:type="dxa"/>
            <w:vAlign w:val="bottom"/>
            <w:gridSpan w:val="18"/>
          </w:tcPr>
          <w:p>
            <w:pPr>
              <w:spacing w:after="0"/>
              <w:rPr>
                <w:sz w:val="20"/>
                <w:szCs w:val="20"/>
                <w:color w:val="auto"/>
              </w:rPr>
            </w:pPr>
            <w:r>
              <w:rPr>
                <w:rFonts w:ascii="Arial" w:cs="Arial" w:eastAsia="Arial" w:hAnsi="Arial"/>
                <w:sz w:val="18"/>
                <w:szCs w:val="18"/>
                <w:color w:val="auto"/>
              </w:rPr>
              <w:t>XBRL document)</w:t>
            </w: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80" w:right="300" w:hanging="954"/>
        <w:spacing w:after="0" w:line="22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07"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nCino, Inc.</w:t>
      </w:r>
    </w:p>
    <w:p>
      <w:pPr>
        <w:spacing w:after="0" w:line="189" w:lineRule="exact"/>
        <w:rPr>
          <w:sz w:val="20"/>
          <w:szCs w:val="20"/>
          <w:color w:val="auto"/>
        </w:rPr>
      </w:pPr>
    </w:p>
    <w:p>
      <w:pPr>
        <w:ind w:left="20"/>
        <w:spacing w:after="0"/>
        <w:tabs>
          <w:tab w:leader="none" w:pos="6320" w:val="left"/>
          <w:tab w:leader="none" w:pos="6860" w:val="left"/>
        </w:tabs>
        <w:rPr>
          <w:sz w:val="20"/>
          <w:szCs w:val="20"/>
          <w:color w:val="auto"/>
        </w:rPr>
      </w:pPr>
      <w:r>
        <w:rPr>
          <w:rFonts w:ascii="Arial" w:cs="Arial" w:eastAsia="Arial" w:hAnsi="Arial"/>
          <w:sz w:val="18"/>
          <w:szCs w:val="18"/>
          <w:color w:val="auto"/>
        </w:rPr>
        <w:t>Date: June 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Pierre Naudé</w:t>
      </w:r>
    </w:p>
    <w:p>
      <w:pPr>
        <w:ind w:left="6880"/>
        <w:spacing w:after="0" w:line="215" w:lineRule="auto"/>
        <w:rPr>
          <w:sz w:val="20"/>
          <w:szCs w:val="20"/>
          <w:color w:val="auto"/>
        </w:rPr>
      </w:pPr>
      <w:r>
        <w:rPr>
          <w:rFonts w:ascii="Arial" w:cs="Arial" w:eastAsia="Arial" w:hAnsi="Arial"/>
          <w:sz w:val="17"/>
          <w:szCs w:val="17"/>
          <w:color w:val="auto"/>
        </w:rPr>
        <w:t>President and Chief Executive Officer; Director</w:t>
      </w:r>
    </w:p>
    <w:p>
      <w:pPr>
        <w:ind w:left="6880"/>
        <w:spacing w:after="0"/>
        <w:rPr>
          <w:sz w:val="20"/>
          <w:szCs w:val="20"/>
          <w:color w:val="auto"/>
        </w:rPr>
      </w:pPr>
      <w:r>
        <w:rPr>
          <w:rFonts w:ascii="Arial" w:cs="Arial" w:eastAsia="Arial" w:hAnsi="Arial"/>
          <w:sz w:val="18"/>
          <w:szCs w:val="18"/>
          <w:color w:val="auto"/>
        </w:rPr>
        <w:t>(Principal Executive Officer)</w:t>
      </w:r>
    </w:p>
    <w:p>
      <w:pPr>
        <w:spacing w:after="0" w:line="263" w:lineRule="exact"/>
        <w:rPr>
          <w:sz w:val="20"/>
          <w:szCs w:val="20"/>
          <w:color w:val="auto"/>
        </w:rPr>
      </w:pPr>
    </w:p>
    <w:p>
      <w:pPr>
        <w:ind w:left="20"/>
        <w:spacing w:after="0"/>
        <w:tabs>
          <w:tab w:leader="none" w:pos="6320" w:val="left"/>
          <w:tab w:leader="none" w:pos="6860" w:val="left"/>
        </w:tabs>
        <w:rPr>
          <w:sz w:val="20"/>
          <w:szCs w:val="20"/>
          <w:color w:val="auto"/>
        </w:rPr>
      </w:pPr>
      <w:r>
        <w:rPr>
          <w:rFonts w:ascii="Arial" w:cs="Arial" w:eastAsia="Arial" w:hAnsi="Arial"/>
          <w:sz w:val="18"/>
          <w:szCs w:val="18"/>
          <w:color w:val="auto"/>
        </w:rPr>
        <w:t>Date: June 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David Rudow</w:t>
      </w:r>
    </w:p>
    <w:p>
      <w:pPr>
        <w:ind w:left="6880"/>
        <w:spacing w:after="0" w:line="203" w:lineRule="auto"/>
        <w:rPr>
          <w:sz w:val="20"/>
          <w:szCs w:val="20"/>
          <w:color w:val="auto"/>
        </w:rPr>
      </w:pPr>
      <w:r>
        <w:rPr>
          <w:rFonts w:ascii="Arial" w:cs="Arial" w:eastAsia="Arial" w:hAnsi="Arial"/>
          <w:sz w:val="18"/>
          <w:szCs w:val="18"/>
          <w:color w:val="auto"/>
        </w:rPr>
        <w:t>Chief Financial Officer and Treasurer</w:t>
      </w:r>
    </w:p>
    <w:p>
      <w:pPr>
        <w:ind w:left="6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420"/>
          </w:cols>
          <w:pgMar w:left="320" w:top="125" w:right="115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b w:val="1"/>
          <w:bCs w:val="1"/>
          <w:color w:val="auto"/>
        </w:rPr>
        <w:t>Exhibit 10.1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TO OFFICE LEASE</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THIS SECOND AMENDMENT TO OFFICE LEASE </w:t>
      </w:r>
      <w:r>
        <w:rPr>
          <w:rFonts w:ascii="Arial" w:cs="Arial" w:eastAsia="Arial" w:hAnsi="Arial"/>
          <w:sz w:val="20"/>
          <w:szCs w:val="20"/>
          <w:color w:val="auto"/>
        </w:rPr>
        <w:t>(this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is entered into effective as of April 5, 2021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Amendment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Cloud Real Estate Holdings, LLC</w:t>
      </w:r>
      <w:r>
        <w:rPr>
          <w:rFonts w:ascii="Arial" w:cs="Arial" w:eastAsia="Arial" w:hAnsi="Arial"/>
          <w:sz w:val="20"/>
          <w:szCs w:val="20"/>
          <w:color w:val="auto"/>
        </w:rPr>
        <w:t>, a North Carolina limited liability company (“</w:t>
      </w:r>
      <w:r>
        <w:rPr>
          <w:rFonts w:ascii="Arial" w:cs="Arial" w:eastAsia="Arial" w:hAnsi="Arial"/>
          <w:sz w:val="20"/>
          <w:szCs w:val="20"/>
          <w:b w:val="1"/>
          <w:bCs w:val="1"/>
          <w:i w:val="1"/>
          <w:iCs w:val="1"/>
          <w:color w:val="auto"/>
        </w:rPr>
        <w:t>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nCino, Inc.</w:t>
      </w:r>
      <w:r>
        <w:rPr>
          <w:rFonts w:ascii="Arial" w:cs="Arial" w:eastAsia="Arial" w:hAnsi="Arial"/>
          <w:sz w:val="20"/>
          <w:szCs w:val="20"/>
          <w:color w:val="auto"/>
        </w:rPr>
        <w:t>, a Delaware corporation (“</w:t>
      </w:r>
      <w:r>
        <w:rPr>
          <w:rFonts w:ascii="Arial" w:cs="Arial" w:eastAsia="Arial" w:hAnsi="Arial"/>
          <w:sz w:val="20"/>
          <w:szCs w:val="20"/>
          <w:b w:val="1"/>
          <w:bCs w:val="1"/>
          <w:i w:val="1"/>
          <w:iCs w:val="1"/>
          <w:color w:val="auto"/>
        </w:rPr>
        <w:t>Tenant</w:t>
      </w:r>
      <w:r>
        <w:rPr>
          <w:rFonts w:ascii="Arial" w:cs="Arial" w:eastAsia="Arial" w:hAnsi="Arial"/>
          <w:sz w:val="20"/>
          <w:szCs w:val="20"/>
          <w:color w:val="auto"/>
        </w:rPr>
        <w:t>”), upon the terms and conditions hereinafter set forth.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08" w:lineRule="exact"/>
        <w:rPr>
          <w:sz w:val="20"/>
          <w:szCs w:val="20"/>
          <w:color w:val="auto"/>
        </w:rPr>
      </w:pPr>
    </w:p>
    <w:p>
      <w:pPr>
        <w:jc w:val="both"/>
        <w:ind w:firstLine="656"/>
        <w:spacing w:after="0" w:line="282" w:lineRule="auto"/>
        <w:tabs>
          <w:tab w:leader="none" w:pos="1286"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Landlord and Tenant entered into that certain Office Lease dated effective November 29, 2020 (the “</w:t>
      </w:r>
      <w:r>
        <w:rPr>
          <w:rFonts w:ascii="Arial" w:cs="Arial" w:eastAsia="Arial" w:hAnsi="Arial"/>
          <w:sz w:val="18"/>
          <w:szCs w:val="18"/>
          <w:b w:val="1"/>
          <w:bCs w:val="1"/>
          <w:i w:val="1"/>
          <w:iCs w:val="1"/>
          <w:color w:val="auto"/>
        </w:rPr>
        <w:t>Existing Building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and that certain First Amendment to Office Lease dated effective January 27, 2021 (the “</w:t>
      </w: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 for certain premises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located at 6770 Parker Farm Drive, Wilmington, North Carolina (as more particularly described therein, the “</w:t>
      </w:r>
      <w:r>
        <w:rPr>
          <w:rFonts w:ascii="Arial" w:cs="Arial" w:eastAsia="Arial" w:hAnsi="Arial"/>
          <w:sz w:val="18"/>
          <w:szCs w:val="18"/>
          <w:b w:val="1"/>
          <w:bCs w:val="1"/>
          <w:i w:val="1"/>
          <w:iCs w:val="1"/>
          <w:color w:val="auto"/>
        </w:rPr>
        <w:t>Premises</w:t>
      </w:r>
      <w:r>
        <w:rPr>
          <w:rFonts w:ascii="Arial" w:cs="Arial" w:eastAsia="Arial" w:hAnsi="Arial"/>
          <w:sz w:val="18"/>
          <w:szCs w:val="18"/>
          <w:color w:val="auto"/>
        </w:rPr>
        <w:t>”). For the purposes of this Amendment, the term “</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shall mean the Existing Building Lease as modified by the First Amendment and this Amendment.</w:t>
      </w:r>
    </w:p>
    <w:p>
      <w:pPr>
        <w:spacing w:after="0" w:line="134" w:lineRule="exact"/>
        <w:rPr>
          <w:rFonts w:ascii="Arial" w:cs="Arial" w:eastAsia="Arial" w:hAnsi="Arial"/>
          <w:sz w:val="18"/>
          <w:szCs w:val="18"/>
          <w:b w:val="1"/>
          <w:bCs w:val="1"/>
          <w:color w:val="auto"/>
        </w:rPr>
      </w:pPr>
    </w:p>
    <w:p>
      <w:pPr>
        <w:jc w:val="both"/>
        <w:ind w:firstLine="656"/>
        <w:spacing w:after="0" w:line="250" w:lineRule="auto"/>
        <w:tabs>
          <w:tab w:leader="none" w:pos="1288"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Landlord and Tenant also entered into that certain Office Lease dated effective on or about the Amendment Date (the “</w:t>
      </w:r>
      <w:r>
        <w:rPr>
          <w:rFonts w:ascii="Arial" w:cs="Arial" w:eastAsia="Arial" w:hAnsi="Arial"/>
          <w:sz w:val="20"/>
          <w:szCs w:val="20"/>
          <w:b w:val="1"/>
          <w:bCs w:val="1"/>
          <w:i w:val="1"/>
          <w:iCs w:val="1"/>
          <w:color w:val="auto"/>
        </w:rPr>
        <w:t>New</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Building Lease</w:t>
      </w:r>
      <w:r>
        <w:rPr>
          <w:rFonts w:ascii="Arial" w:cs="Arial" w:eastAsia="Arial" w:hAnsi="Arial"/>
          <w:sz w:val="20"/>
          <w:szCs w:val="20"/>
          <w:color w:val="auto"/>
        </w:rPr>
        <w:t>”), which lease is the New Building Lease contemplated by Section 33.02 of the Existing Building Lease. The term “</w:t>
      </w:r>
      <w:r>
        <w:rPr>
          <w:rFonts w:ascii="Arial" w:cs="Arial" w:eastAsia="Arial" w:hAnsi="Arial"/>
          <w:sz w:val="20"/>
          <w:szCs w:val="20"/>
          <w:b w:val="1"/>
          <w:bCs w:val="1"/>
          <w:i w:val="1"/>
          <w:iCs w:val="1"/>
          <w:color w:val="auto"/>
        </w:rPr>
        <w:t>New Building</w:t>
      </w:r>
      <w:r>
        <w:rPr>
          <w:rFonts w:ascii="Arial" w:cs="Arial" w:eastAsia="Arial" w:hAnsi="Arial"/>
          <w:sz w:val="20"/>
          <w:szCs w:val="20"/>
          <w:color w:val="auto"/>
        </w:rPr>
        <w:t>” shall mean the Building, as defined in the New Building Lease.</w:t>
      </w:r>
    </w:p>
    <w:p>
      <w:pPr>
        <w:spacing w:after="0" w:line="172" w:lineRule="exact"/>
        <w:rPr>
          <w:rFonts w:ascii="Arial" w:cs="Arial" w:eastAsia="Arial" w:hAnsi="Arial"/>
          <w:sz w:val="20"/>
          <w:szCs w:val="20"/>
          <w:b w:val="1"/>
          <w:bCs w:val="1"/>
          <w:color w:val="auto"/>
        </w:rPr>
      </w:pPr>
    </w:p>
    <w:p>
      <w:pPr>
        <w:ind w:right="20" w:firstLine="656"/>
        <w:spacing w:after="0" w:line="260" w:lineRule="auto"/>
        <w:tabs>
          <w:tab w:leader="none" w:pos="1286"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As a result of the execution of the New Building Lease, Landlord and Tenant have agreed to amend the Lease on the terms and conditions set forth in this Amendment.</w:t>
      </w:r>
    </w:p>
    <w:p>
      <w:pPr>
        <w:spacing w:after="0" w:line="16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the parties agree as follows:</w:t>
      </w:r>
    </w:p>
    <w:p>
      <w:pPr>
        <w:spacing w:after="0" w:line="144"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Incorporation of Recitals</w:t>
      </w:r>
      <w:r>
        <w:rPr>
          <w:rFonts w:ascii="Arial" w:cs="Arial" w:eastAsia="Arial" w:hAnsi="Arial"/>
          <w:sz w:val="20"/>
          <w:szCs w:val="20"/>
          <w:b w:val="1"/>
          <w:bCs w:val="1"/>
          <w:color w:val="auto"/>
        </w:rPr>
        <w:t xml:space="preserve">. </w:t>
      </w:r>
      <w:r>
        <w:rPr>
          <w:rFonts w:ascii="Arial" w:cs="Arial" w:eastAsia="Arial" w:hAnsi="Arial"/>
          <w:sz w:val="20"/>
          <w:szCs w:val="20"/>
          <w:color w:val="auto"/>
        </w:rPr>
        <w:t>The foregoing recitals are incorporated herein by reference.</w:t>
      </w:r>
    </w:p>
    <w:p>
      <w:pPr>
        <w:spacing w:after="0" w:line="202" w:lineRule="exact"/>
        <w:rPr>
          <w:rFonts w:ascii="Arial" w:cs="Arial" w:eastAsia="Arial" w:hAnsi="Arial"/>
          <w:sz w:val="20"/>
          <w:szCs w:val="20"/>
          <w:b w:val="1"/>
          <w:bCs w:val="1"/>
          <w:color w:val="auto"/>
        </w:rPr>
      </w:pPr>
    </w:p>
    <w:p>
      <w:pPr>
        <w:ind w:left="1300" w:hanging="644"/>
        <w:spacing w:after="0"/>
        <w:tabs>
          <w:tab w:leader="none" w:pos="130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Condition Satisfied</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2.03 of the Lease captioned “Conditional Effectiveness” is hereby deleted in its entirety.</w:t>
      </w:r>
    </w:p>
    <w:p>
      <w:pPr>
        <w:spacing w:after="0" w:line="213" w:lineRule="exact"/>
        <w:rPr>
          <w:rFonts w:ascii="Arial" w:cs="Arial" w:eastAsia="Arial" w:hAnsi="Arial"/>
          <w:sz w:val="19"/>
          <w:szCs w:val="19"/>
          <w:b w:val="1"/>
          <w:bCs w:val="1"/>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New Building Lease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33.02 of the Lease captioned “New Building Lease” is hereby deleted in its entirety. Further:</w:t>
      </w:r>
    </w:p>
    <w:p>
      <w:pPr>
        <w:spacing w:after="0" w:line="217" w:lineRule="exact"/>
        <w:rPr>
          <w:rFonts w:ascii="Arial" w:cs="Arial" w:eastAsia="Arial" w:hAnsi="Arial"/>
          <w:sz w:val="18"/>
          <w:szCs w:val="18"/>
          <w:b w:val="1"/>
          <w:bCs w:val="1"/>
          <w:color w:val="auto"/>
        </w:rPr>
      </w:pPr>
    </w:p>
    <w:p>
      <w:pPr>
        <w:jc w:val="both"/>
        <w:ind w:left="660" w:firstLine="644"/>
        <w:spacing w:after="0" w:line="216" w:lineRule="auto"/>
        <w:tabs>
          <w:tab w:leader="none" w:pos="1945" w:val="left"/>
        </w:tabs>
        <w:numPr>
          <w:ilvl w:val="1"/>
          <w:numId w:val="9"/>
        </w:numPr>
        <w:rPr>
          <w:rFonts w:ascii="Arial" w:cs="Arial" w:eastAsia="Arial" w:hAnsi="Arial"/>
          <w:sz w:val="20"/>
          <w:szCs w:val="20"/>
          <w:color w:val="auto"/>
        </w:rPr>
      </w:pPr>
      <w:r>
        <w:rPr>
          <w:rFonts w:ascii="Arial" w:cs="Arial" w:eastAsia="Arial" w:hAnsi="Arial"/>
          <w:sz w:val="20"/>
          <w:szCs w:val="20"/>
          <w:color w:val="auto"/>
        </w:rPr>
        <w:t>In Section 1 of Exhibit E to the Lease (captioned “Right of First Offer”), the phrase “If, prior to the last day of the forty-eighth (48</w:t>
      </w:r>
      <w:r>
        <w:rPr>
          <w:rFonts w:ascii="Arial" w:cs="Arial" w:eastAsia="Arial" w:hAnsi="Arial"/>
          <w:sz w:val="25"/>
          <w:szCs w:val="25"/>
          <w:color w:val="auto"/>
          <w:vertAlign w:val="superscript"/>
        </w:rPr>
        <w:t>th</w:t>
      </w:r>
      <w:r>
        <w:rPr>
          <w:rFonts w:ascii="Arial" w:cs="Arial" w:eastAsia="Arial" w:hAnsi="Arial"/>
          <w:sz w:val="20"/>
          <w:szCs w:val="20"/>
          <w:color w:val="auto"/>
        </w:rPr>
        <w:t>) full calendar month after the Effective Date (or, if the New Building Lease is executed, the forty-eighth (48</w:t>
      </w:r>
      <w:r>
        <w:rPr>
          <w:rFonts w:ascii="Arial" w:cs="Arial" w:eastAsia="Arial" w:hAnsi="Arial"/>
          <w:sz w:val="25"/>
          <w:szCs w:val="25"/>
          <w:color w:val="auto"/>
          <w:vertAlign w:val="superscript"/>
        </w:rPr>
        <w:t>th</w:t>
      </w:r>
      <w:r>
        <w:rPr>
          <w:rFonts w:ascii="Arial" w:cs="Arial" w:eastAsia="Arial" w:hAnsi="Arial"/>
          <w:sz w:val="20"/>
          <w:szCs w:val="20"/>
          <w:color w:val="auto"/>
        </w:rPr>
        <w:t>) full calendar month after the issuance of a certificate of occupancy for the building to be constructed pursuant to the New Building Lease)” is hereby replaced with the following: “If, prior to the last day of the forty-eighth (48</w:t>
      </w:r>
      <w:r>
        <w:rPr>
          <w:rFonts w:ascii="Arial" w:cs="Arial" w:eastAsia="Arial" w:hAnsi="Arial"/>
          <w:sz w:val="25"/>
          <w:szCs w:val="25"/>
          <w:color w:val="auto"/>
          <w:vertAlign w:val="superscript"/>
        </w:rPr>
        <w:t>th</w:t>
      </w:r>
      <w:r>
        <w:rPr>
          <w:rFonts w:ascii="Arial" w:cs="Arial" w:eastAsia="Arial" w:hAnsi="Arial"/>
          <w:sz w:val="20"/>
          <w:szCs w:val="20"/>
          <w:color w:val="auto"/>
        </w:rPr>
        <w:t>) full calendar month after the earlier to occur of (X) the first anniversary of the Commencement Date (as defined in the New Building Lease) or (Y) the issuance of a certificate of occupancy for the New Building”.</w:t>
      </w:r>
    </w:p>
    <w:p>
      <w:pPr>
        <w:spacing w:after="0" w:line="182" w:lineRule="exact"/>
        <w:rPr>
          <w:rFonts w:ascii="Arial" w:cs="Arial" w:eastAsia="Arial" w:hAnsi="Arial"/>
          <w:sz w:val="20"/>
          <w:szCs w:val="20"/>
          <w:color w:val="auto"/>
        </w:rPr>
      </w:pPr>
    </w:p>
    <w:p>
      <w:pPr>
        <w:jc w:val="both"/>
        <w:ind w:left="660" w:firstLine="644"/>
        <w:spacing w:after="0" w:line="227" w:lineRule="auto"/>
        <w:tabs>
          <w:tab w:leader="none" w:pos="1956" w:val="left"/>
        </w:tabs>
        <w:numPr>
          <w:ilvl w:val="1"/>
          <w:numId w:val="9"/>
        </w:numPr>
        <w:rPr>
          <w:rFonts w:ascii="Arial" w:cs="Arial" w:eastAsia="Arial" w:hAnsi="Arial"/>
          <w:sz w:val="19"/>
          <w:szCs w:val="19"/>
          <w:color w:val="auto"/>
        </w:rPr>
      </w:pPr>
      <w:r>
        <w:rPr>
          <w:rFonts w:ascii="Arial" w:cs="Arial" w:eastAsia="Arial" w:hAnsi="Arial"/>
          <w:sz w:val="19"/>
          <w:szCs w:val="19"/>
          <w:color w:val="auto"/>
        </w:rPr>
        <w:t>In Section 2 of Exhibit E to the Lease (captioned “Option to Purchase”), the phrase “The Option Notice must be given no later than the last day of the forty-eighth (48</w:t>
      </w:r>
      <w:r>
        <w:rPr>
          <w:rFonts w:ascii="Arial" w:cs="Arial" w:eastAsia="Arial" w:hAnsi="Arial"/>
          <w:sz w:val="24"/>
          <w:szCs w:val="24"/>
          <w:color w:val="auto"/>
          <w:vertAlign w:val="superscript"/>
        </w:rPr>
        <w:t>th</w:t>
      </w:r>
      <w:r>
        <w:rPr>
          <w:rFonts w:ascii="Arial" w:cs="Arial" w:eastAsia="Arial" w:hAnsi="Arial"/>
          <w:sz w:val="19"/>
          <w:szCs w:val="19"/>
          <w:color w:val="auto"/>
        </w:rPr>
        <w:t>) full calendar month after the Effective Date (or, if the New Building Lease is executed, the forty-eighth (48</w:t>
      </w:r>
      <w:r>
        <w:rPr>
          <w:rFonts w:ascii="Arial" w:cs="Arial" w:eastAsia="Arial" w:hAnsi="Arial"/>
          <w:sz w:val="24"/>
          <w:szCs w:val="24"/>
          <w:color w:val="auto"/>
          <w:vertAlign w:val="superscript"/>
        </w:rPr>
        <w:t>th</w:t>
      </w:r>
      <w:r>
        <w:rPr>
          <w:rFonts w:ascii="Arial" w:cs="Arial" w:eastAsia="Arial" w:hAnsi="Arial"/>
          <w:sz w:val="19"/>
          <w:szCs w:val="19"/>
          <w:color w:val="auto"/>
        </w:rPr>
        <w:t>) full calendar month after the issuance of a certificate of occupancy for the building to be constructed pursuant to the New Building Lease)” is hereby replaced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color w:val="auto"/>
        </w:rPr>
        <w:t>Second Amendment to Office Lease</w:t>
      </w:r>
      <w:r>
        <w:rPr>
          <w:sz w:val="20"/>
          <w:szCs w:val="20"/>
          <w:color w:val="auto"/>
        </w:rPr>
        <w:tab/>
      </w:r>
      <w:r>
        <w:rPr>
          <w:rFonts w:ascii="Arial" w:cs="Arial" w:eastAsia="Arial" w:hAnsi="Arial"/>
          <w:sz w:val="13"/>
          <w:szCs w:val="13"/>
          <w:color w:val="auto"/>
        </w:rPr>
        <w:t>Page 1</w:t>
      </w:r>
    </w:p>
    <w:p>
      <w:pPr>
        <w:sectPr>
          <w:pgSz w:w="11900" w:h="16838" w:orient="portrait"/>
          <w:cols w:equalWidth="0" w:num="1">
            <w:col w:w="11240"/>
          </w:cols>
          <w:pgMar w:left="320" w:top="1413"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“The Option Notice must be given no later than the last day of the forty-eighth (48</w:t>
      </w:r>
      <w:r>
        <w:rPr>
          <w:rFonts w:ascii="Arial" w:cs="Arial" w:eastAsia="Arial" w:hAnsi="Arial"/>
          <w:sz w:val="23"/>
          <w:szCs w:val="23"/>
          <w:color w:val="auto"/>
          <w:vertAlign w:val="superscript"/>
        </w:rPr>
        <w:t>th</w:t>
      </w:r>
      <w:r>
        <w:rPr>
          <w:rFonts w:ascii="Arial" w:cs="Arial" w:eastAsia="Arial" w:hAnsi="Arial"/>
          <w:sz w:val="18"/>
          <w:szCs w:val="18"/>
          <w:color w:val="auto"/>
        </w:rPr>
        <w:t>) full calendar month after the earlier to occur of</w:t>
      </w:r>
    </w:p>
    <w:p>
      <w:pPr>
        <w:ind w:left="660" w:hanging="4"/>
        <w:spacing w:after="0" w:line="244" w:lineRule="auto"/>
        <w:tabs>
          <w:tab w:leader="none" w:pos="997"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first anniversary of the Commencement Date (as defined in the New Building Lease) or (Y) the issuance of a certificate of occupancy for the New Building”.</w:t>
      </w:r>
    </w:p>
    <w:p>
      <w:pPr>
        <w:spacing w:after="0" w:line="177" w:lineRule="exact"/>
        <w:rPr>
          <w:rFonts w:ascii="Arial" w:cs="Arial" w:eastAsia="Arial" w:hAnsi="Arial"/>
          <w:sz w:val="20"/>
          <w:szCs w:val="20"/>
          <w:color w:val="auto"/>
        </w:rPr>
      </w:pPr>
    </w:p>
    <w:p>
      <w:pPr>
        <w:jc w:val="both"/>
        <w:ind w:left="660" w:firstLine="644"/>
        <w:spacing w:after="0" w:line="216" w:lineRule="auto"/>
        <w:tabs>
          <w:tab w:leader="none" w:pos="1945" w:val="left"/>
        </w:tabs>
        <w:numPr>
          <w:ilvl w:val="1"/>
          <w:numId w:val="10"/>
        </w:numPr>
        <w:rPr>
          <w:rFonts w:ascii="Arial" w:cs="Arial" w:eastAsia="Arial" w:hAnsi="Arial"/>
          <w:sz w:val="20"/>
          <w:szCs w:val="20"/>
          <w:color w:val="auto"/>
        </w:rPr>
      </w:pPr>
      <w:r>
        <w:rPr>
          <w:rFonts w:ascii="Arial" w:cs="Arial" w:eastAsia="Arial" w:hAnsi="Arial"/>
          <w:sz w:val="20"/>
          <w:szCs w:val="20"/>
          <w:color w:val="auto"/>
        </w:rPr>
        <w:t>In both Section 2(a)(ii) and 2(a)(iii) of Exhibit E to the Lease (captioned “Option to Purchase”), each instance of the phrase “the last day of the forty-eighth (48</w:t>
      </w:r>
      <w:r>
        <w:rPr>
          <w:rFonts w:ascii="Arial" w:cs="Arial" w:eastAsia="Arial" w:hAnsi="Arial"/>
          <w:sz w:val="25"/>
          <w:szCs w:val="25"/>
          <w:color w:val="auto"/>
          <w:vertAlign w:val="superscript"/>
        </w:rPr>
        <w:t>th</w:t>
      </w:r>
      <w:r>
        <w:rPr>
          <w:rFonts w:ascii="Arial" w:cs="Arial" w:eastAsia="Arial" w:hAnsi="Arial"/>
          <w:sz w:val="20"/>
          <w:szCs w:val="20"/>
          <w:color w:val="auto"/>
        </w:rPr>
        <w:t>) full calendar month after the Effective Date (or, if the New Building Lease is executed, the forty-eighth (48</w:t>
      </w:r>
      <w:r>
        <w:rPr>
          <w:rFonts w:ascii="Arial" w:cs="Arial" w:eastAsia="Arial" w:hAnsi="Arial"/>
          <w:sz w:val="25"/>
          <w:szCs w:val="25"/>
          <w:color w:val="auto"/>
          <w:vertAlign w:val="superscript"/>
        </w:rPr>
        <w:t>th</w:t>
      </w:r>
      <w:r>
        <w:rPr>
          <w:rFonts w:ascii="Arial" w:cs="Arial" w:eastAsia="Arial" w:hAnsi="Arial"/>
          <w:sz w:val="20"/>
          <w:szCs w:val="20"/>
          <w:color w:val="auto"/>
        </w:rPr>
        <w:t>) full calendar month after the issuance of a certificate of occupancy for the building to be constructed pursuant to the New Building Lease)” is hereby replaced with “the last day of the forty-eighth (48</w:t>
      </w:r>
      <w:r>
        <w:rPr>
          <w:rFonts w:ascii="Arial" w:cs="Arial" w:eastAsia="Arial" w:hAnsi="Arial"/>
          <w:sz w:val="25"/>
          <w:szCs w:val="25"/>
          <w:color w:val="auto"/>
          <w:vertAlign w:val="superscript"/>
        </w:rPr>
        <w:t>th</w:t>
      </w:r>
      <w:r>
        <w:rPr>
          <w:rFonts w:ascii="Arial" w:cs="Arial" w:eastAsia="Arial" w:hAnsi="Arial"/>
          <w:sz w:val="20"/>
          <w:szCs w:val="20"/>
          <w:color w:val="auto"/>
        </w:rPr>
        <w:t>) full calendar month after the earlier to occur of (X) the first anniversary of the Commencement Date (as defined in the New Building Lease) or (Y) the issuance of a certificate of occupancy for the New Building”.</w:t>
      </w:r>
    </w:p>
    <w:p>
      <w:pPr>
        <w:spacing w:after="0" w:line="168" w:lineRule="exact"/>
        <w:rPr>
          <w:rFonts w:ascii="Arial" w:cs="Arial" w:eastAsia="Arial" w:hAnsi="Arial"/>
          <w:sz w:val="20"/>
          <w:szCs w:val="20"/>
          <w:color w:val="auto"/>
        </w:rPr>
      </w:pPr>
    </w:p>
    <w:p>
      <w:pPr>
        <w:jc w:val="both"/>
        <w:ind w:left="660" w:firstLine="644"/>
        <w:spacing w:after="0" w:line="269" w:lineRule="auto"/>
        <w:tabs>
          <w:tab w:leader="none" w:pos="195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Section 3 of Exhibit E to the Lease (captioned “Profits Interest”), the phrase “In the event within the first thirty-six (36) full calendar months after the Effective Date (or, if the New Building Lease is executed within twenty-four months of the Effective Date, then the thirty-sixth (36th) full calendar month after the issuance of a certificate of occupancy for the building to be constructed pursuant to the New Building Lease)” is hereby replaced with “In the event within the first thirty-six (36) full calendar months after the earlier to occur of (X) the first anniversary of the Commencement Date (as defined in the New Building Lease) or</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issuance of a certificate of occupancy for the New Building”.</w:t>
      </w:r>
    </w:p>
    <w:p>
      <w:pPr>
        <w:spacing w:after="0" w:line="180" w:lineRule="exact"/>
        <w:rPr>
          <w:sz w:val="20"/>
          <w:szCs w:val="20"/>
          <w:color w:val="auto"/>
        </w:rPr>
      </w:pPr>
    </w:p>
    <w:p>
      <w:pPr>
        <w:ind w:right="20" w:firstLine="656"/>
        <w:spacing w:after="0" w:line="267" w:lineRule="auto"/>
        <w:tabs>
          <w:tab w:leader="none" w:pos="1296"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Parking</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not be entitled to use of the Parking Deck prior to the Parking Deck Completion Date. Effective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Parking Deck Completion Date, Article 29 of the Lease is amended and restated as follows:</w:t>
      </w:r>
    </w:p>
    <w:p>
      <w:pPr>
        <w:spacing w:after="0" w:line="156" w:lineRule="exact"/>
        <w:rPr>
          <w:sz w:val="20"/>
          <w:szCs w:val="20"/>
          <w:color w:val="auto"/>
        </w:rPr>
      </w:pPr>
    </w:p>
    <w:p>
      <w:pPr>
        <w:jc w:val="both"/>
        <w:ind w:left="660" w:right="640" w:firstLine="648"/>
        <w:spacing w:after="0" w:line="269" w:lineRule="auto"/>
        <w:rPr>
          <w:sz w:val="20"/>
          <w:szCs w:val="20"/>
          <w:color w:val="auto"/>
        </w:rPr>
      </w:pPr>
      <w:r>
        <w:rPr>
          <w:rFonts w:ascii="Arial" w:cs="Arial" w:eastAsia="Arial" w:hAnsi="Arial"/>
          <w:sz w:val="18"/>
          <w:szCs w:val="18"/>
          <w:color w:val="auto"/>
        </w:rPr>
        <w:t xml:space="preserve">29.01 </w:t>
      </w:r>
      <w:r>
        <w:rPr>
          <w:rFonts w:ascii="Arial" w:cs="Arial" w:eastAsia="Arial" w:hAnsi="Arial"/>
          <w:sz w:val="18"/>
          <w:szCs w:val="18"/>
          <w:u w:val="single" w:color="auto"/>
          <w:color w:val="auto"/>
        </w:rPr>
        <w:t>Parking</w:t>
      </w:r>
      <w:r>
        <w:rPr>
          <w:rFonts w:ascii="Arial" w:cs="Arial" w:eastAsia="Arial" w:hAnsi="Arial"/>
          <w:sz w:val="18"/>
          <w:szCs w:val="18"/>
          <w:color w:val="auto"/>
        </w:rPr>
        <w:t>. Tenant shall have the right of non-exclusive use, in common with others, of Tenant’s Parking Share of the outdoor ground level automobile parking areas on the Property. Tenant shall have the right of exclusive use of the Parking Deck except only as otherwise provided in this Article 29. Vehicles may only be parked in paved, striped parking spaces and any vehicle parked in any other location on the Property may be towed, at the expense of the vehicle owner, without notice. All parking spaces associated with the Premises are intended for use by passenger vehicles, except for intermittent deliveries by commercial vehicles, for which parking spaces also shall be used. Notwithstanding anything to the contrary stated above, Landlord reserves (a) the right to reasonably designate specific uncovered parking spaces and up to two (2) spaces within the Parking Deck for Landlord’s performance of its obligations under the Lease, commercial loading space, and for property management services to the Property and (b) the right to use of the parking facilities other than the Parking Deck for construction parking as reasonably necessary or required by applicable law in connection with construction of the Parking Deck, of the building contemplated by the New Building Lease, and of Landlord Development. For the purposes of this Article 29, the term “</w:t>
      </w:r>
      <w:r>
        <w:rPr>
          <w:rFonts w:ascii="Arial" w:cs="Arial" w:eastAsia="Arial" w:hAnsi="Arial"/>
          <w:sz w:val="18"/>
          <w:szCs w:val="18"/>
          <w:b w:val="1"/>
          <w:bCs w:val="1"/>
          <w:i w:val="1"/>
          <w:iCs w:val="1"/>
          <w:color w:val="auto"/>
        </w:rPr>
        <w:t>Tenant’s Parking Share</w:t>
      </w:r>
      <w:r>
        <w:rPr>
          <w:rFonts w:ascii="Arial" w:cs="Arial" w:eastAsia="Arial" w:hAnsi="Arial"/>
          <w:sz w:val="18"/>
          <w:szCs w:val="18"/>
          <w:color w:val="auto"/>
        </w:rPr>
        <w:t>” means the quotient, expressed as a percentage, of (x) the rentable square footage of the Premises divided by (y) the sum of (i) the rentable square footage of the Building (ii) the rentable square footage of the New Building, and (iii) the rentable square footage of any building(s) constructed in connection with Landlord Development. Initially, Tenant’s Parking Share is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color w:val="auto"/>
        </w:rPr>
        <w:t>Second Amendment to Office Lease</w:t>
      </w:r>
      <w:r>
        <w:rPr>
          <w:sz w:val="20"/>
          <w:szCs w:val="20"/>
          <w:color w:val="auto"/>
        </w:rPr>
        <w:tab/>
      </w:r>
      <w:r>
        <w:rPr>
          <w:rFonts w:ascii="Arial" w:cs="Arial" w:eastAsia="Arial" w:hAnsi="Arial"/>
          <w:sz w:val="13"/>
          <w:szCs w:val="13"/>
          <w:color w:val="auto"/>
        </w:rPr>
        <w:t>Page 2</w:t>
      </w:r>
    </w:p>
    <w:p>
      <w:pPr>
        <w:sectPr>
          <w:pgSz w:w="11900" w:h="16838" w:orient="portrait"/>
          <w:cols w:equalWidth="0" w:num="1">
            <w:col w:w="11240"/>
          </w:cols>
          <w:pgMar w:left="320" w:top="1400" w:right="339" w:bottom="1440" w:gutter="0" w:footer="0" w:header="0"/>
        </w:sectPr>
      </w:pPr>
    </w:p>
    <w:bookmarkStart w:id="41" w:name="page42"/>
    <w:bookmarkEnd w:id="41"/>
    <w:p>
      <w:pPr>
        <w:jc w:val="both"/>
        <w:ind w:left="660" w:right="640" w:firstLine="648"/>
        <w:spacing w:after="0" w:line="257" w:lineRule="auto"/>
        <w:rPr>
          <w:sz w:val="20"/>
          <w:szCs w:val="20"/>
          <w:color w:val="auto"/>
        </w:rPr>
      </w:pPr>
      <w:r>
        <w:rPr>
          <w:rFonts w:ascii="Arial" w:cs="Arial" w:eastAsia="Arial" w:hAnsi="Arial"/>
          <w:sz w:val="19"/>
          <w:szCs w:val="19"/>
          <w:color w:val="auto"/>
        </w:rPr>
        <w:t xml:space="preserve">29.02 </w:t>
      </w:r>
      <w:r>
        <w:rPr>
          <w:rFonts w:ascii="Arial" w:cs="Arial" w:eastAsia="Arial" w:hAnsi="Arial"/>
          <w:sz w:val="19"/>
          <w:szCs w:val="19"/>
          <w:u w:val="single" w:color="auto"/>
          <w:color w:val="auto"/>
        </w:rPr>
        <w:t>Effect of Reduction</w:t>
      </w:r>
      <w:r>
        <w:rPr>
          <w:rFonts w:ascii="Arial" w:cs="Arial" w:eastAsia="Arial" w:hAnsi="Arial"/>
          <w:sz w:val="19"/>
          <w:szCs w:val="19"/>
          <w:color w:val="auto"/>
        </w:rPr>
        <w:t>. If there shall be a reduction to the Premises then (A) the amount of parking spaces in the Parking Deck that are exclusive to Tenant shall be reduced proportionate to the reduction in the Premises, at a rate of 4 spaces per 1,000 rentable square feet in the reduced area (and a corresponding number of parking cards or entry fobs shall be given by Tenant to the applicable landlord for use by itself or by a tenant of the Building other than Tenant), and (B) Tenant will be entitled to reserve, and to mark with appropriate signage or paint, up to five (5) surface parking spaces for this Building, including one (1) handicap space, adjacent to the Building. This Section 29.03 shall not be construed as a right to surrender of give-back any portion of the Premises.</w:t>
      </w:r>
    </w:p>
    <w:p>
      <w:pPr>
        <w:spacing w:after="0" w:line="165" w:lineRule="exact"/>
        <w:rPr>
          <w:sz w:val="20"/>
          <w:szCs w:val="20"/>
          <w:color w:val="auto"/>
        </w:rPr>
      </w:pPr>
    </w:p>
    <w:p>
      <w:pPr>
        <w:jc w:val="both"/>
        <w:ind w:right="20" w:firstLine="656"/>
        <w:spacing w:after="0" w:line="294" w:lineRule="auto"/>
        <w:tabs>
          <w:tab w:leader="none" w:pos="129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Allocation of Parking Deck Rent Adjustment</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occurrence of the Commencement Date under the New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Lease, the Parking Deck Rent Adjustment shall no longer apply solely to the Lease but shall thereafter be allocated between the Lease and the New Building Lease pro-rata based on the rentable square footage of the Building and the rentable square footage of the New Building.</w:t>
      </w:r>
    </w:p>
    <w:p>
      <w:pPr>
        <w:spacing w:after="0" w:line="116" w:lineRule="exact"/>
        <w:rPr>
          <w:rFonts w:ascii="Arial" w:cs="Arial" w:eastAsia="Arial" w:hAnsi="Arial"/>
          <w:sz w:val="18"/>
          <w:szCs w:val="18"/>
          <w:b w:val="1"/>
          <w:bCs w:val="1"/>
          <w:color w:val="auto"/>
        </w:rPr>
      </w:pPr>
    </w:p>
    <w:p>
      <w:pPr>
        <w:ind w:firstLine="656"/>
        <w:spacing w:after="0" w:line="267" w:lineRule="auto"/>
        <w:tabs>
          <w:tab w:leader="none" w:pos="1296"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Temporary Parking</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7.c of the Work Letter attached to the First Amendment (captioned “Temporary Parking”) is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deleted in its entirety.</w:t>
      </w:r>
    </w:p>
    <w:p>
      <w:pPr>
        <w:spacing w:after="0" w:line="149" w:lineRule="exact"/>
        <w:rPr>
          <w:rFonts w:ascii="Arial" w:cs="Arial" w:eastAsia="Arial" w:hAnsi="Arial"/>
          <w:sz w:val="20"/>
          <w:szCs w:val="20"/>
          <w:b w:val="1"/>
          <w:bCs w:val="1"/>
          <w:color w:val="auto"/>
        </w:rPr>
      </w:pPr>
    </w:p>
    <w:p>
      <w:pPr>
        <w:ind w:left="1300" w:hanging="644"/>
        <w:spacing w:after="0"/>
        <w:tabs>
          <w:tab w:leader="none" w:pos="13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Expenses</w:t>
      </w:r>
      <w:r>
        <w:rPr>
          <w:rFonts w:ascii="Arial" w:cs="Arial" w:eastAsia="Arial" w:hAnsi="Arial"/>
          <w:sz w:val="20"/>
          <w:szCs w:val="20"/>
          <w:b w:val="1"/>
          <w:bCs w:val="1"/>
          <w:color w:val="auto"/>
        </w:rPr>
        <w:t>.</w:t>
      </w:r>
    </w:p>
    <w:p>
      <w:pPr>
        <w:spacing w:after="0" w:line="208" w:lineRule="exact"/>
        <w:rPr>
          <w:rFonts w:ascii="Arial" w:cs="Arial" w:eastAsia="Arial" w:hAnsi="Arial"/>
          <w:sz w:val="20"/>
          <w:szCs w:val="20"/>
          <w:b w:val="1"/>
          <w:bCs w:val="1"/>
          <w:color w:val="auto"/>
        </w:rPr>
      </w:pPr>
    </w:p>
    <w:p>
      <w:pPr>
        <w:ind w:left="660" w:firstLine="644"/>
        <w:spacing w:after="0" w:line="260" w:lineRule="auto"/>
        <w:tabs>
          <w:tab w:leader="none" w:pos="1945" w:val="left"/>
        </w:tabs>
        <w:numPr>
          <w:ilvl w:val="1"/>
          <w:numId w:val="12"/>
        </w:numPr>
        <w:rPr>
          <w:rFonts w:ascii="Arial" w:cs="Arial" w:eastAsia="Arial" w:hAnsi="Arial"/>
          <w:sz w:val="20"/>
          <w:szCs w:val="20"/>
          <w:color w:val="auto"/>
        </w:rPr>
      </w:pPr>
      <w:r>
        <w:rPr>
          <w:rFonts w:ascii="Arial" w:cs="Arial" w:eastAsia="Arial" w:hAnsi="Arial"/>
          <w:sz w:val="20"/>
          <w:szCs w:val="20"/>
          <w:color w:val="auto"/>
        </w:rPr>
        <w:t>Within the definition of “Expenses” in Section 5.01 of the Lease, the phrase “grounds care” is hereby replaced with “landscaping and grounds care”.</w:t>
      </w:r>
    </w:p>
    <w:p>
      <w:pPr>
        <w:spacing w:after="0" w:line="149" w:lineRule="exact"/>
        <w:rPr>
          <w:rFonts w:ascii="Arial" w:cs="Arial" w:eastAsia="Arial" w:hAnsi="Arial"/>
          <w:sz w:val="20"/>
          <w:szCs w:val="20"/>
          <w:color w:val="auto"/>
        </w:rPr>
      </w:pPr>
    </w:p>
    <w:p>
      <w:pPr>
        <w:jc w:val="both"/>
        <w:ind w:left="660" w:firstLine="644"/>
        <w:spacing w:after="0" w:line="244" w:lineRule="auto"/>
        <w:tabs>
          <w:tab w:leader="none" w:pos="1956" w:val="left"/>
        </w:tabs>
        <w:numPr>
          <w:ilvl w:val="1"/>
          <w:numId w:val="12"/>
        </w:numPr>
        <w:rPr>
          <w:rFonts w:ascii="Arial" w:cs="Arial" w:eastAsia="Arial" w:hAnsi="Arial"/>
          <w:sz w:val="20"/>
          <w:szCs w:val="20"/>
          <w:color w:val="auto"/>
        </w:rPr>
      </w:pPr>
      <w:r>
        <w:rPr>
          <w:rFonts w:ascii="Arial" w:cs="Arial" w:eastAsia="Arial" w:hAnsi="Arial"/>
          <w:sz w:val="20"/>
          <w:szCs w:val="20"/>
          <w:color w:val="auto"/>
        </w:rPr>
        <w:t>The following sentence is hereby inserted immediately prior to the last sentence of the definition of “Expenses” in Section 5.01 of the Lease: “To the extent that certain Expenses burden or inure to the benefit of both the Building and the New Building, such Expenses shall be allocated between the Building and the New Building pro-rata based on rentable square footage of the Building and the New Building, as applicable, or in such other equitable and reasonable manner as Landlord from time to time determines.”</w:t>
      </w:r>
    </w:p>
    <w:p>
      <w:pPr>
        <w:spacing w:after="0" w:line="174" w:lineRule="exact"/>
        <w:rPr>
          <w:rFonts w:ascii="Arial" w:cs="Arial" w:eastAsia="Arial" w:hAnsi="Arial"/>
          <w:sz w:val="20"/>
          <w:szCs w:val="20"/>
          <w:color w:val="auto"/>
        </w:rPr>
      </w:pPr>
    </w:p>
    <w:p>
      <w:pPr>
        <w:ind w:firstLine="656"/>
        <w:spacing w:after="0" w:line="267" w:lineRule="auto"/>
        <w:tabs>
          <w:tab w:leader="none" w:pos="1296"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HVAC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In Section 9.02, the reference to “during weekdays at other than Normal Business Hours, on Saturdays,</w:t>
      </w:r>
      <w:r>
        <w:rPr>
          <w:rFonts w:ascii="Arial" w:cs="Arial" w:eastAsia="Arial" w:hAnsi="Arial"/>
          <w:sz w:val="20"/>
          <w:szCs w:val="20"/>
          <w:b w:val="1"/>
          <w:bCs w:val="1"/>
          <w:color w:val="auto"/>
        </w:rPr>
        <w:t xml:space="preserve"> </w:t>
      </w:r>
      <w:r>
        <w:rPr>
          <w:rFonts w:ascii="Arial" w:cs="Arial" w:eastAsia="Arial" w:hAnsi="Arial"/>
          <w:sz w:val="20"/>
          <w:szCs w:val="20"/>
          <w:color w:val="auto"/>
        </w:rPr>
        <w:t>Sundays, and Holidays” with “other than Normal Business Hours”.</w:t>
      </w:r>
    </w:p>
    <w:p>
      <w:pPr>
        <w:spacing w:after="0" w:line="149" w:lineRule="exact"/>
        <w:rPr>
          <w:rFonts w:ascii="Arial" w:cs="Arial" w:eastAsia="Arial" w:hAnsi="Arial"/>
          <w:sz w:val="20"/>
          <w:szCs w:val="20"/>
          <w:b w:val="1"/>
          <w:bCs w:val="1"/>
          <w:color w:val="auto"/>
        </w:rPr>
      </w:pPr>
    </w:p>
    <w:p>
      <w:pPr>
        <w:jc w:val="both"/>
        <w:ind w:firstLine="656"/>
        <w:spacing w:after="0" w:line="272" w:lineRule="auto"/>
        <w:tabs>
          <w:tab w:leader="none" w:pos="1296"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Elevator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9.06 is hereby amended and restated as follows: “Landlord shall provide automatic elevator</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to each floor in the Building on which a portion of the Premises is located and within the Parking Deck to each floor thereof, provided that Landlord may reasonably limit the number of operating elevators outside of Normal Business Hours and on Holidays.”</w:t>
      </w:r>
    </w:p>
    <w:p>
      <w:pPr>
        <w:spacing w:after="0" w:line="134" w:lineRule="exact"/>
        <w:rPr>
          <w:rFonts w:ascii="Arial" w:cs="Arial" w:eastAsia="Arial" w:hAnsi="Arial"/>
          <w:sz w:val="19"/>
          <w:szCs w:val="19"/>
          <w:b w:val="1"/>
          <w:bCs w:val="1"/>
          <w:color w:val="auto"/>
        </w:rPr>
      </w:pPr>
    </w:p>
    <w:p>
      <w:pPr>
        <w:ind w:right="20" w:firstLine="656"/>
        <w:spacing w:after="0" w:line="267" w:lineRule="auto"/>
        <w:tabs>
          <w:tab w:leader="none" w:pos="1287"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Right to Construct Additional Improvements</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33.05 of the Lease captioned “Right to Construct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Improvements” is hereby amended and restated as follows:</w:t>
      </w:r>
    </w:p>
    <w:p>
      <w:pPr>
        <w:spacing w:after="0" w:line="156"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19"/>
          <w:szCs w:val="19"/>
          <w:u w:val="single" w:color="auto"/>
          <w:color w:val="auto"/>
        </w:rPr>
        <w:t>Right to Construct Additional Improvements</w:t>
      </w:r>
      <w:r>
        <w:rPr>
          <w:rFonts w:ascii="Arial" w:cs="Arial" w:eastAsia="Arial" w:hAnsi="Arial"/>
          <w:sz w:val="19"/>
          <w:szCs w:val="19"/>
          <w:color w:val="auto"/>
        </w:rPr>
        <w:t>. From and after the last day of the forty-eight (48</w:t>
      </w:r>
      <w:r>
        <w:rPr>
          <w:rFonts w:ascii="Arial" w:cs="Arial" w:eastAsia="Arial" w:hAnsi="Arial"/>
          <w:sz w:val="24"/>
          <w:szCs w:val="24"/>
          <w:color w:val="auto"/>
          <w:vertAlign w:val="superscript"/>
        </w:rPr>
        <w:t>th</w:t>
      </w:r>
      <w:r>
        <w:rPr>
          <w:rFonts w:ascii="Arial" w:cs="Arial" w:eastAsia="Arial" w:hAnsi="Arial"/>
          <w:sz w:val="19"/>
          <w:szCs w:val="19"/>
          <w:color w:val="auto"/>
        </w:rPr>
        <w:t>) full calendar month after the earlier to occur of (a) the first anniversary of the Commencement Date (as defined in the New Building Lease) or (b) the issuance of a certificate of occupancy for the New Building, Landlord shall have the right (whether via subdivision, condominium, ground lease or other legal means) to divide Property for further development or for separate ownership of its component parts (each, “</w:t>
      </w:r>
      <w:r>
        <w:rPr>
          <w:rFonts w:ascii="Arial" w:cs="Arial" w:eastAsia="Arial" w:hAnsi="Arial"/>
          <w:sz w:val="19"/>
          <w:szCs w:val="19"/>
          <w:b w:val="1"/>
          <w:bCs w:val="1"/>
          <w:color w:val="auto"/>
        </w:rPr>
        <w:t>Landlord Development</w:t>
      </w:r>
      <w:r>
        <w:rPr>
          <w:rFonts w:ascii="Arial" w:cs="Arial" w:eastAsia="Arial" w:hAnsi="Arial"/>
          <w:sz w:val="19"/>
          <w:szCs w:val="19"/>
          <w:color w:val="auto"/>
        </w:rPr>
        <w:t>”). Any such Landlord Development will be subject to compliance with applicable governmental laws, regulations, rules, ordinances and codes (including but not limited to applicable parking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color w:val="auto"/>
        </w:rPr>
        <w:t>Second Amendment to Office Lease</w:t>
      </w:r>
      <w:r>
        <w:rPr>
          <w:sz w:val="20"/>
          <w:szCs w:val="20"/>
          <w:color w:val="auto"/>
        </w:rPr>
        <w:tab/>
      </w:r>
      <w:r>
        <w:rPr>
          <w:rFonts w:ascii="Arial" w:cs="Arial" w:eastAsia="Arial" w:hAnsi="Arial"/>
          <w:sz w:val="13"/>
          <w:szCs w:val="13"/>
          <w:color w:val="auto"/>
        </w:rPr>
        <w:t>Page 3</w:t>
      </w:r>
    </w:p>
    <w:p>
      <w:pPr>
        <w:sectPr>
          <w:pgSz w:w="11900" w:h="16838" w:orient="portrait"/>
          <w:cols w:equalWidth="0" w:num="1">
            <w:col w:w="11240"/>
          </w:cols>
          <w:pgMar w:left="320" w:top="1419" w:right="339" w:bottom="1440" w:gutter="0" w:footer="0" w:header="0"/>
        </w:sectPr>
      </w:pPr>
    </w:p>
    <w:bookmarkStart w:id="42" w:name="page43"/>
    <w:bookmarkEnd w:id="42"/>
    <w:p>
      <w:pPr>
        <w:jc w:val="both"/>
        <w:ind w:left="660"/>
        <w:spacing w:after="0" w:line="270" w:lineRule="auto"/>
        <w:rPr>
          <w:sz w:val="20"/>
          <w:szCs w:val="20"/>
          <w:color w:val="auto"/>
        </w:rPr>
      </w:pPr>
      <w:r>
        <w:rPr>
          <w:rFonts w:ascii="Arial" w:cs="Arial" w:eastAsia="Arial" w:hAnsi="Arial"/>
          <w:sz w:val="18"/>
          <w:szCs w:val="18"/>
          <w:color w:val="auto"/>
        </w:rPr>
        <w:t>requirements), as well as applicable restrictive covenants and architectural controls, including but limited to those imposed by the Master Declaration. The site plan for any such Landlord Development, as well any corresponding declarations of covenants, conditions, easements and/or restrictions, shall be subject to Tenant’s prior written approval, which approval shall not be unreasonably withheld, conditioned or delayed (acknowledging, for avoidance of doubt, that in recognition of Tenant’s rights, interests and options under this Lease and the Existing Building Lease, Tenant does have an interest in assuring that any declarations of covenants, conditions, easements and/or restrictions are fair and reasonable). It is understood that if approval of Landlord Development constituting only subdivision shall be accomplished prior to Landlord Development consisting of construction on the same subdivided parcel, such construction shall be a separate incident of Landlord Development, subject to Tenant’s prior written approval. If within ten (10) business days after Landlord’s written request Tenant fails to either approve plans for a Landlord Development or notify Landlord in writing with specificity of Tenant’s good faith and reasonable objections thereto, Tenant shall conclusively be deemed to have approved the Landlord Development. Tenant shall not unreasonably withhold, condition or delay its consent to such amendments as Landlord may reasonably request to this Lease (and any recorded memorandum of this Lease) to reflect changes in the definition of Property and similar changes necessary in connection with a Landlord Development.</w:t>
      </w:r>
    </w:p>
    <w:p>
      <w:pPr>
        <w:spacing w:after="0" w:line="153" w:lineRule="exact"/>
        <w:rPr>
          <w:sz w:val="20"/>
          <w:szCs w:val="20"/>
          <w:color w:val="auto"/>
        </w:rPr>
      </w:pPr>
    </w:p>
    <w:p>
      <w:pPr>
        <w:ind w:left="1280" w:hanging="624"/>
        <w:spacing w:after="0"/>
        <w:tabs>
          <w:tab w:leader="none" w:pos="12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Corrective Amendments</w:t>
      </w:r>
      <w:r>
        <w:rPr>
          <w:rFonts w:ascii="Arial" w:cs="Arial" w:eastAsia="Arial" w:hAnsi="Arial"/>
          <w:sz w:val="20"/>
          <w:szCs w:val="20"/>
          <w:b w:val="1"/>
          <w:bCs w:val="1"/>
          <w:color w:val="auto"/>
        </w:rPr>
        <w:t>.</w:t>
      </w:r>
    </w:p>
    <w:p>
      <w:pPr>
        <w:spacing w:after="0" w:line="194" w:lineRule="exact"/>
        <w:rPr>
          <w:rFonts w:ascii="Arial" w:cs="Arial" w:eastAsia="Arial" w:hAnsi="Arial"/>
          <w:sz w:val="20"/>
          <w:szCs w:val="20"/>
          <w:b w:val="1"/>
          <w:bCs w:val="1"/>
          <w:color w:val="auto"/>
        </w:rPr>
      </w:pPr>
    </w:p>
    <w:p>
      <w:pPr>
        <w:ind w:left="660" w:firstLine="644"/>
        <w:spacing w:after="0" w:line="260" w:lineRule="auto"/>
        <w:tabs>
          <w:tab w:leader="none" w:pos="1945"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Throughout the Lease, each instance of “Basic Annual Rent” is hereby replaced with “Basic Rent”. In Section 5.04 of the Lease, the phrase “Annual Basic Rental” is hereby replaced with “Basic Rent”.</w:t>
      </w:r>
    </w:p>
    <w:p>
      <w:pPr>
        <w:spacing w:after="0" w:line="163" w:lineRule="exact"/>
        <w:rPr>
          <w:rFonts w:ascii="Arial" w:cs="Arial" w:eastAsia="Arial" w:hAnsi="Arial"/>
          <w:sz w:val="20"/>
          <w:szCs w:val="20"/>
          <w:color w:val="auto"/>
        </w:rPr>
      </w:pPr>
    </w:p>
    <w:p>
      <w:pPr>
        <w:ind w:left="1960" w:hanging="656"/>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section 5.02(A) of the Lease, the phrase “proportionate Share” is hereby replaced with “Proportionate Share”.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Section 1 of Exhibit B to the Lease, the phrase” escalations to escalations to” is hereby replaced with “escalations</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to”.</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 xml:space="preserve">. </w:t>
      </w:r>
      <w:r>
        <w:rPr>
          <w:rFonts w:ascii="Arial" w:cs="Arial" w:eastAsia="Arial" w:hAnsi="Arial"/>
          <w:sz w:val="20"/>
          <w:szCs w:val="20"/>
          <w:color w:val="auto"/>
        </w:rPr>
        <w:t>Capitalized terms used by not defined in this Amendment have the meanings given in the Lease.</w:t>
      </w:r>
    </w:p>
    <w:p>
      <w:pPr>
        <w:spacing w:after="0" w:line="202" w:lineRule="exact"/>
        <w:rPr>
          <w:rFonts w:ascii="Arial" w:cs="Arial" w:eastAsia="Arial" w:hAnsi="Arial"/>
          <w:sz w:val="20"/>
          <w:szCs w:val="20"/>
          <w:b w:val="1"/>
          <w:bCs w:val="1"/>
          <w:color w:val="auto"/>
        </w:rPr>
      </w:pPr>
    </w:p>
    <w:p>
      <w:pPr>
        <w:ind w:firstLine="656"/>
        <w:spacing w:after="0" w:line="267" w:lineRule="auto"/>
        <w:tabs>
          <w:tab w:leader="none" w:pos="1287"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Authority</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Landlord and Tenant represents and warrants to the other that the individual executing this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on such party’s behalf is authorized to do so.</w:t>
      </w:r>
    </w:p>
    <w:p>
      <w:pPr>
        <w:spacing w:after="0" w:line="149" w:lineRule="exact"/>
        <w:rPr>
          <w:rFonts w:ascii="Arial" w:cs="Arial" w:eastAsia="Arial" w:hAnsi="Arial"/>
          <w:sz w:val="20"/>
          <w:szCs w:val="20"/>
          <w:b w:val="1"/>
          <w:bCs w:val="1"/>
          <w:color w:val="auto"/>
        </w:rPr>
      </w:pPr>
    </w:p>
    <w:p>
      <w:pPr>
        <w:jc w:val="both"/>
        <w:ind w:firstLine="656"/>
        <w:spacing w:after="0" w:line="274" w:lineRule="auto"/>
        <w:tabs>
          <w:tab w:leader="none" w:pos="128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The recitals to this Amendment are incorporated into the body of this Amendment by reference.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by this Amendment, all of Landlord's and Tenant's other rights, obligations and covenants with respect to the Lease shall remain in full force and effect. This Amendment may be executed in multiple counterparts, each of which shall be deemed to be an original, and all of such counterparts shall constitute one document. To facilitate execution of this Amendment, the parties hereto may execute and exchange, by telephone facsimile or electronic mail PDF, counterparts of the signature pages. Signature pages may be detached from the counterparts and attached to a single copy of this Amendment to physically form one document. In the event any term or provision of this Amendment is determined by appropriate judicial authority to be illegal or otherwise invalid, such provision shall be given its nearest legal meaning or be construed or deleted as such authority determines, and the remainder of this Amendment shall remain in full force and effect.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The remainder of this page is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color w:val="auto"/>
        </w:rPr>
        <w:t>Second Amendment to Office Lease</w:t>
      </w:r>
      <w:r>
        <w:rPr>
          <w:sz w:val="20"/>
          <w:szCs w:val="20"/>
          <w:color w:val="auto"/>
        </w:rPr>
        <w:tab/>
      </w:r>
      <w:r>
        <w:rPr>
          <w:rFonts w:ascii="Arial" w:cs="Arial" w:eastAsia="Arial" w:hAnsi="Arial"/>
          <w:sz w:val="13"/>
          <w:szCs w:val="13"/>
          <w:color w:val="auto"/>
        </w:rPr>
        <w:t>Page 4</w:t>
      </w:r>
    </w:p>
    <w:p>
      <w:pPr>
        <w:sectPr>
          <w:pgSz w:w="11900" w:h="16838" w:orient="portrait"/>
          <w:cols w:equalWidth="0" w:num="1">
            <w:col w:w="11240"/>
          </w:cols>
          <w:pgMar w:left="320" w:top="1419"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IN WITNESS WHEREOF, the parties have executed this Amendment effective as of the Amendment Date.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900"/>
        <w:spacing w:after="0"/>
        <w:rPr>
          <w:sz w:val="20"/>
          <w:szCs w:val="20"/>
          <w:color w:val="auto"/>
        </w:rPr>
      </w:pPr>
      <w:r>
        <w:rPr>
          <w:rFonts w:ascii="Arial" w:cs="Arial" w:eastAsia="Arial" w:hAnsi="Arial"/>
          <w:sz w:val="20"/>
          <w:szCs w:val="20"/>
          <w:b w:val="1"/>
          <w:bCs w:val="1"/>
          <w:u w:val="single" w:color="auto"/>
          <w:color w:val="auto"/>
        </w:rPr>
        <w:t>TENANT</w:t>
      </w:r>
      <w:r>
        <w:rPr>
          <w:rFonts w:ascii="Arial" w:cs="Arial" w:eastAsia="Arial" w:hAnsi="Arial"/>
          <w:sz w:val="20"/>
          <w:szCs w:val="20"/>
          <w:b w:val="1"/>
          <w:bCs w:val="1"/>
          <w:color w:val="auto"/>
        </w:rPr>
        <w:t>:</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nCino, Inc.</w:t>
      </w:r>
    </w:p>
    <w:p>
      <w:pPr>
        <w:spacing w:after="0" w:line="19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corporation</w:t>
      </w:r>
    </w:p>
    <w:p>
      <w:pPr>
        <w:spacing w:after="0" w:line="20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0"/>
          <w:szCs w:val="20"/>
          <w:color w:val="auto"/>
        </w:rPr>
        <w:t>By:</w:t>
        <w:tab/>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0922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spacing w:after="0" w:line="182"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-14605</wp:posOffset>
            </wp:positionV>
            <wp:extent cx="1036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036320" cy="8890"/>
                    </a:xfrm>
                    <a:prstGeom prst="rect">
                      <a:avLst/>
                    </a:prstGeom>
                    <a:noFill/>
                  </pic:spPr>
                </pic:pic>
              </a:graphicData>
            </a:graphic>
          </wp:anchor>
        </w:drawing>
      </w:r>
    </w:p>
    <w:p>
      <w:pPr>
        <w:spacing w:after="0" w:line="169"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-14605</wp:posOffset>
            </wp:positionV>
            <wp:extent cx="11309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b w:val="1"/>
          <w:bCs w:val="1"/>
          <w:u w:val="single" w:color="auto"/>
          <w:color w:val="auto"/>
        </w:rPr>
        <w:t>LANDLORD</w:t>
      </w:r>
      <w:r>
        <w:rPr>
          <w:rFonts w:ascii="Arial" w:cs="Arial" w:eastAsia="Arial" w:hAnsi="Arial"/>
          <w:sz w:val="20"/>
          <w:szCs w:val="20"/>
          <w:b w:val="1"/>
          <w:bCs w:val="1"/>
          <w:color w:val="auto"/>
        </w:rPr>
        <w:t>:</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Cloud Real Estate Holdings, LLC</w:t>
      </w:r>
    </w:p>
    <w:p>
      <w:pPr>
        <w:spacing w:after="0" w:line="20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North Carolina limited liability company</w:t>
      </w:r>
    </w:p>
    <w:p>
      <w:pPr>
        <w:spacing w:after="0" w:line="20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Raiford Trask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1296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169"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Raiford Trask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-14605</wp:posOffset>
            </wp:positionV>
            <wp:extent cx="9791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979170" cy="8890"/>
                    </a:xfrm>
                    <a:prstGeom prst="rect">
                      <a:avLst/>
                    </a:prstGeom>
                    <a:noFill/>
                  </pic:spPr>
                </pic:pic>
              </a:graphicData>
            </a:graphic>
          </wp:anchor>
        </w:drawing>
      </w:r>
    </w:p>
    <w:p>
      <w:pPr>
        <w:spacing w:after="0" w:line="182"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-14605</wp:posOffset>
            </wp:positionV>
            <wp:extent cx="6978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color w:val="auto"/>
        </w:rPr>
        <w:t>Second Amendment to Office Lease</w:t>
      </w:r>
      <w:r>
        <w:rPr>
          <w:sz w:val="20"/>
          <w:szCs w:val="20"/>
          <w:color w:val="auto"/>
        </w:rPr>
        <w:tab/>
      </w:r>
      <w:r>
        <w:rPr>
          <w:rFonts w:ascii="Arial" w:cs="Arial" w:eastAsia="Arial" w:hAnsi="Arial"/>
          <w:sz w:val="14"/>
          <w:szCs w:val="14"/>
          <w:color w:val="auto"/>
        </w:rPr>
        <w:t>Signature Page</w:t>
      </w:r>
    </w:p>
    <w:p>
      <w:pPr>
        <w:sectPr>
          <w:pgSz w:w="11900" w:h="16838" w:orient="portrait"/>
          <w:cols w:equalWidth="0" w:num="1">
            <w:col w:w="10139"/>
          </w:cols>
          <w:pgMar w:left="320" w:top="1432"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 Pierre Naudé, certify that:</w:t>
      </w:r>
    </w:p>
    <w:p>
      <w:pPr>
        <w:spacing w:after="0" w:line="243" w:lineRule="exact"/>
        <w:rPr>
          <w:sz w:val="20"/>
          <w:szCs w:val="20"/>
          <w:color w:val="auto"/>
        </w:rPr>
      </w:pPr>
    </w:p>
    <w:p>
      <w:pPr>
        <w:ind w:left="700" w:hanging="692"/>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nCino, Inc.;</w:t>
      </w:r>
    </w:p>
    <w:p>
      <w:pPr>
        <w:spacing w:after="0" w:line="242" w:lineRule="exact"/>
        <w:rPr>
          <w:rFonts w:ascii="Arial" w:cs="Arial" w:eastAsia="Arial" w:hAnsi="Arial"/>
          <w:sz w:val="20"/>
          <w:szCs w:val="20"/>
          <w:color w:val="auto"/>
        </w:rPr>
      </w:pPr>
    </w:p>
    <w:p>
      <w:pPr>
        <w:ind w:left="660" w:right="40" w:hanging="652"/>
        <w:spacing w:after="0" w:line="25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660" w:right="20" w:hanging="652"/>
        <w:spacing w:after="0" w:line="25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ind w:left="660" w:right="220" w:hanging="652"/>
        <w:spacing w:after="0" w:line="26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203" w:lineRule="exact"/>
        <w:rPr>
          <w:rFonts w:ascii="Arial" w:cs="Arial" w:eastAsia="Arial" w:hAnsi="Arial"/>
          <w:sz w:val="20"/>
          <w:szCs w:val="20"/>
          <w:color w:val="auto"/>
        </w:rPr>
      </w:pPr>
    </w:p>
    <w:p>
      <w:pPr>
        <w:ind w:left="1300" w:right="100" w:hanging="644"/>
        <w:spacing w:after="0" w:line="291"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right="80" w:hanging="644"/>
        <w:spacing w:after="0" w:line="250" w:lineRule="auto"/>
        <w:tabs>
          <w:tab w:leader="none" w:pos="1288" w:val="left"/>
        </w:tabs>
        <w:numPr>
          <w:ilvl w:val="1"/>
          <w:numId w:val="1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ind w:left="1300" w:right="120" w:hanging="644"/>
        <w:spacing w:after="0" w:line="291"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ind w:left="660" w:right="80" w:hanging="652"/>
        <w:spacing w:after="0" w:line="25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ind w:left="1300" w:right="340" w:hanging="644"/>
        <w:spacing w:after="0" w:line="250" w:lineRule="auto"/>
        <w:tabs>
          <w:tab w:leader="none" w:pos="1290" w:val="left"/>
        </w:tabs>
        <w:numPr>
          <w:ilvl w:val="1"/>
          <w:numId w:val="1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13" w:right="339" w:bottom="1440" w:gutter="0" w:footer="0" w:header="0"/>
        </w:sectPr>
      </w:pPr>
    </w:p>
    <w:bookmarkStart w:id="45" w:name="page46"/>
    <w:bookmarkEnd w:id="45"/>
    <w:p>
      <w:pPr>
        <w:ind w:left="1280" w:hanging="644"/>
        <w:spacing w:after="0" w:line="260" w:lineRule="auto"/>
        <w:tabs>
          <w:tab w:leader="none" w:pos="126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p>
      <w:pPr>
        <w:spacing w:after="0"/>
        <w:tabs>
          <w:tab w:leader="none" w:pos="5680" w:val="left"/>
          <w:tab w:leader="none" w:pos="8040" w:val="left"/>
        </w:tabs>
        <w:rPr>
          <w:sz w:val="20"/>
          <w:szCs w:val="20"/>
          <w:color w:val="auto"/>
        </w:rPr>
      </w:pPr>
      <w:r>
        <w:rPr>
          <w:rFonts w:ascii="Arial" w:cs="Arial" w:eastAsia="Arial" w:hAnsi="Arial"/>
          <w:sz w:val="20"/>
          <w:szCs w:val="20"/>
          <w:color w:val="auto"/>
        </w:rPr>
        <w:t>Date: June 2, 2021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27305</wp:posOffset>
            </wp:positionV>
            <wp:extent cx="28975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47" w:lineRule="exact"/>
        <w:rPr>
          <w:sz w:val="20"/>
          <w:szCs w:val="20"/>
          <w:color w:val="auto"/>
        </w:rPr>
      </w:pPr>
    </w:p>
    <w:p>
      <w:pPr>
        <w:jc w:val="center"/>
        <w:ind w:left="6180"/>
        <w:spacing w:after="0"/>
        <w:rPr>
          <w:sz w:val="20"/>
          <w:szCs w:val="20"/>
          <w:color w:val="auto"/>
        </w:rPr>
      </w:pPr>
      <w:r>
        <w:rPr>
          <w:rFonts w:ascii="Arial" w:cs="Arial" w:eastAsia="Arial" w:hAnsi="Arial"/>
          <w:sz w:val="20"/>
          <w:szCs w:val="20"/>
          <w:color w:val="auto"/>
        </w:rPr>
        <w:t>Pierre Naudé</w:t>
      </w:r>
    </w:p>
    <w:p>
      <w:pPr>
        <w:spacing w:after="0" w:line="54" w:lineRule="exact"/>
        <w:rPr>
          <w:sz w:val="20"/>
          <w:szCs w:val="20"/>
          <w:color w:val="auto"/>
        </w:rPr>
      </w:pPr>
    </w:p>
    <w:p>
      <w:pPr>
        <w:jc w:val="center"/>
        <w:ind w:left="6180"/>
        <w:spacing w:after="0"/>
        <w:rPr>
          <w:sz w:val="20"/>
          <w:szCs w:val="20"/>
          <w:color w:val="auto"/>
        </w:rPr>
      </w:pPr>
      <w:r>
        <w:rPr>
          <w:rFonts w:ascii="Arial" w:cs="Arial" w:eastAsia="Arial" w:hAnsi="Arial"/>
          <w:sz w:val="20"/>
          <w:szCs w:val="20"/>
          <w:color w:val="auto"/>
        </w:rPr>
        <w:t>President and Chief Executive Officer</w:t>
      </w:r>
    </w:p>
    <w:p>
      <w:pPr>
        <w:sectPr>
          <w:pgSz w:w="11900" w:h="16838" w:orient="portrait"/>
          <w:cols w:equalWidth="0" w:num="1">
            <w:col w:w="10460"/>
          </w:cols>
          <w:pgMar w:left="340" w:top="1419" w:right="109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 David Rudow, certify that:</w:t>
      </w:r>
    </w:p>
    <w:p>
      <w:pPr>
        <w:spacing w:after="0" w:line="243" w:lineRule="exact"/>
        <w:rPr>
          <w:sz w:val="20"/>
          <w:szCs w:val="20"/>
          <w:color w:val="auto"/>
        </w:rPr>
      </w:pPr>
    </w:p>
    <w:p>
      <w:pPr>
        <w:ind w:left="700" w:hanging="692"/>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nCino, Inc.;</w:t>
      </w:r>
    </w:p>
    <w:p>
      <w:pPr>
        <w:spacing w:after="0" w:line="242" w:lineRule="exact"/>
        <w:rPr>
          <w:rFonts w:ascii="Arial" w:cs="Arial" w:eastAsia="Arial" w:hAnsi="Arial"/>
          <w:sz w:val="20"/>
          <w:szCs w:val="20"/>
          <w:color w:val="auto"/>
        </w:rPr>
      </w:pPr>
    </w:p>
    <w:p>
      <w:pPr>
        <w:ind w:left="660" w:right="40" w:hanging="652"/>
        <w:spacing w:after="0" w:line="25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660" w:right="20" w:hanging="652"/>
        <w:spacing w:after="0" w:line="25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ind w:left="660" w:right="220" w:hanging="652"/>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203" w:lineRule="exact"/>
        <w:rPr>
          <w:rFonts w:ascii="Arial" w:cs="Arial" w:eastAsia="Arial" w:hAnsi="Arial"/>
          <w:sz w:val="20"/>
          <w:szCs w:val="20"/>
          <w:color w:val="auto"/>
        </w:rPr>
      </w:pPr>
    </w:p>
    <w:p>
      <w:pPr>
        <w:ind w:left="1300" w:right="100" w:hanging="644"/>
        <w:spacing w:after="0" w:line="291"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right="80" w:hanging="644"/>
        <w:spacing w:after="0" w:line="250" w:lineRule="auto"/>
        <w:tabs>
          <w:tab w:leader="none" w:pos="1288" w:val="left"/>
        </w:tabs>
        <w:numPr>
          <w:ilvl w:val="1"/>
          <w:numId w:val="1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ind w:left="1300" w:right="120" w:hanging="644"/>
        <w:spacing w:after="0" w:line="291"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ind w:left="660" w:right="80" w:hanging="652"/>
        <w:spacing w:after="0" w:line="25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ind w:left="1300" w:right="340" w:hanging="644"/>
        <w:spacing w:after="0" w:line="250" w:lineRule="auto"/>
        <w:tabs>
          <w:tab w:leader="none" w:pos="1290" w:val="left"/>
        </w:tabs>
        <w:numPr>
          <w:ilvl w:val="1"/>
          <w:numId w:val="1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13" w:right="339" w:bottom="1440" w:gutter="0" w:footer="0" w:header="0"/>
        </w:sectPr>
      </w:pPr>
    </w:p>
    <w:bookmarkStart w:id="47" w:name="page48"/>
    <w:bookmarkEnd w:id="47"/>
    <w:p>
      <w:pPr>
        <w:ind w:left="1280" w:right="520" w:hanging="644"/>
        <w:spacing w:after="0" w:line="260" w:lineRule="auto"/>
        <w:tabs>
          <w:tab w:leader="none" w:pos="126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00" w:type="dxa"/>
            <w:vAlign w:val="bottom"/>
          </w:tcPr>
          <w:p>
            <w:pPr>
              <w:spacing w:after="0"/>
              <w:rPr>
                <w:sz w:val="20"/>
                <w:szCs w:val="20"/>
                <w:color w:val="auto"/>
              </w:rPr>
            </w:pPr>
            <w:r>
              <w:rPr>
                <w:rFonts w:ascii="Arial" w:cs="Arial" w:eastAsia="Arial" w:hAnsi="Arial"/>
                <w:sz w:val="20"/>
                <w:szCs w:val="20"/>
                <w:color w:val="auto"/>
              </w:rPr>
              <w:t>Date: June 2, 2021</w:t>
            </w:r>
          </w:p>
        </w:tc>
        <w:tc>
          <w:tcPr>
            <w:tcW w:w="2820" w:type="dxa"/>
            <w:vAlign w:val="bottom"/>
          </w:tcPr>
          <w:p>
            <w:pPr>
              <w:ind w:left="2100"/>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David Rudow</w:t>
            </w:r>
          </w:p>
        </w:tc>
      </w:tr>
      <w:tr>
        <w:trPr>
          <w:trHeight w:val="233"/>
        </w:trPr>
        <w:tc>
          <w:tcPr>
            <w:tcW w:w="36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2"/>
              </w:rPr>
              <w:t>David Rudow</w:t>
            </w:r>
          </w:p>
        </w:tc>
      </w:tr>
      <w:tr>
        <w:trPr>
          <w:trHeight w:val="250"/>
        </w:trPr>
        <w:tc>
          <w:tcPr>
            <w:tcW w:w="36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3"/>
              </w:rPr>
              <w:t>Chief Financial Officer</w:t>
            </w:r>
          </w:p>
        </w:tc>
      </w:tr>
    </w:tbl>
    <w:p>
      <w:pPr>
        <w:sectPr>
          <w:pgSz w:w="11900" w:h="16838" w:orient="portrait"/>
          <w:cols w:equalWidth="0" w:num="1">
            <w:col w:w="10980"/>
          </w:cols>
          <w:pgMar w:left="340" w:top="1419" w:right="5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ind w:right="100" w:firstLine="516"/>
        <w:spacing w:after="0" w:line="250" w:lineRule="auto"/>
        <w:rPr>
          <w:sz w:val="20"/>
          <w:szCs w:val="20"/>
          <w:color w:val="auto"/>
        </w:rPr>
      </w:pPr>
      <w:r>
        <w:rPr>
          <w:rFonts w:ascii="Arial" w:cs="Arial" w:eastAsia="Arial" w:hAnsi="Arial"/>
          <w:sz w:val="20"/>
          <w:szCs w:val="20"/>
          <w:color w:val="auto"/>
        </w:rPr>
        <w:t>In connection with the Quarterly Report of nCino, Inc. (the “Company”) on Form 10-Q for the period ending April 30, 2021 as filed with the Securities and Exchange Commission on the date hereof (the “Report”), I certify, pursuant to 18 U.S.C. § 1350, as adopted pursuant to § 906 of the Sarbanes-Oxley Act of 2002, that, to my knowledge:</w:t>
      </w:r>
    </w:p>
    <w:p>
      <w:pPr>
        <w:spacing w:after="0" w:line="186" w:lineRule="exact"/>
        <w:rPr>
          <w:sz w:val="20"/>
          <w:szCs w:val="20"/>
          <w:color w:val="auto"/>
        </w:rPr>
      </w:pPr>
    </w:p>
    <w:p>
      <w:pPr>
        <w:ind w:left="1300" w:hanging="776"/>
        <w:spacing w:after="0"/>
        <w:tabs>
          <w:tab w:leader="none" w:pos="13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1300" w:right="700" w:hanging="776"/>
        <w:spacing w:after="0" w:line="260" w:lineRule="auto"/>
        <w:tabs>
          <w:tab w:leader="none" w:pos="1292"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600" w:type="dxa"/>
            <w:vAlign w:val="bottom"/>
          </w:tcPr>
          <w:p>
            <w:pPr>
              <w:spacing w:after="0"/>
              <w:rPr>
                <w:sz w:val="20"/>
                <w:szCs w:val="20"/>
                <w:color w:val="auto"/>
              </w:rPr>
            </w:pPr>
            <w:r>
              <w:rPr>
                <w:rFonts w:ascii="Arial" w:cs="Arial" w:eastAsia="Arial" w:hAnsi="Arial"/>
                <w:sz w:val="20"/>
                <w:szCs w:val="20"/>
                <w:color w:val="auto"/>
              </w:rPr>
              <w:t>Date: June 2, 2021</w:t>
            </w:r>
          </w:p>
        </w:tc>
        <w:tc>
          <w:tcPr>
            <w:tcW w:w="2820" w:type="dxa"/>
            <w:vAlign w:val="bottom"/>
          </w:tcPr>
          <w:p>
            <w:pPr>
              <w:ind w:left="2100"/>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/s/ Pierre Naudé</w:t>
            </w:r>
          </w:p>
        </w:tc>
      </w:tr>
      <w:tr>
        <w:trPr>
          <w:trHeight w:val="233"/>
        </w:trPr>
        <w:tc>
          <w:tcPr>
            <w:tcW w:w="36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88"/>
              </w:rPr>
              <w:t>Pierre Naudé</w:t>
            </w:r>
          </w:p>
        </w:tc>
      </w:tr>
      <w:tr>
        <w:trPr>
          <w:trHeight w:val="250"/>
        </w:trPr>
        <w:tc>
          <w:tcPr>
            <w:tcW w:w="36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0"/>
              </w:rPr>
              <w:t>President and Chief Executive Officer</w:t>
            </w:r>
          </w:p>
        </w:tc>
      </w:tr>
    </w:tbl>
    <w:p>
      <w:pPr>
        <w:sectPr>
          <w:pgSz w:w="11900" w:h="16838" w:orient="portrait"/>
          <w:cols w:equalWidth="0" w:num="1">
            <w:col w:w="11240"/>
          </w:cols>
          <w:pgMar w:left="320" w:top="141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ind w:right="100" w:firstLine="516"/>
        <w:spacing w:after="0" w:line="250" w:lineRule="auto"/>
        <w:rPr>
          <w:sz w:val="20"/>
          <w:szCs w:val="20"/>
          <w:color w:val="auto"/>
        </w:rPr>
      </w:pPr>
      <w:r>
        <w:rPr>
          <w:rFonts w:ascii="Arial" w:cs="Arial" w:eastAsia="Arial" w:hAnsi="Arial"/>
          <w:sz w:val="20"/>
          <w:szCs w:val="20"/>
          <w:color w:val="auto"/>
        </w:rPr>
        <w:t>In connection with the Quarterly Report of nCino, Inc. (the “Company”) on Form 10-Q for the period ending April 30, 2021 as filed with the Securities and Exchange Commission on the date hereof (the “Report”), I certify, pursuant to 18 U.S.C. § 1350, as adopted pursuant to § 906 of the Sarbanes-Oxley Act of 2002, that, to my knowledge:</w:t>
      </w:r>
    </w:p>
    <w:p>
      <w:pPr>
        <w:spacing w:after="0" w:line="186" w:lineRule="exact"/>
        <w:rPr>
          <w:sz w:val="20"/>
          <w:szCs w:val="20"/>
          <w:color w:val="auto"/>
        </w:rPr>
      </w:pPr>
    </w:p>
    <w:p>
      <w:pPr>
        <w:ind w:left="1300" w:hanging="776"/>
        <w:spacing w:after="0"/>
        <w:tabs>
          <w:tab w:leader="none" w:pos="13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1300" w:right="700" w:hanging="776"/>
        <w:spacing w:after="0" w:line="260" w:lineRule="auto"/>
        <w:tabs>
          <w:tab w:leader="none" w:pos="1292"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600" w:type="dxa"/>
            <w:vAlign w:val="bottom"/>
          </w:tcPr>
          <w:p>
            <w:pPr>
              <w:spacing w:after="0"/>
              <w:rPr>
                <w:sz w:val="20"/>
                <w:szCs w:val="20"/>
                <w:color w:val="auto"/>
              </w:rPr>
            </w:pPr>
            <w:r>
              <w:rPr>
                <w:rFonts w:ascii="Arial" w:cs="Arial" w:eastAsia="Arial" w:hAnsi="Arial"/>
                <w:sz w:val="20"/>
                <w:szCs w:val="20"/>
                <w:color w:val="auto"/>
              </w:rPr>
              <w:t>Date: June 2, 2021</w:t>
            </w:r>
          </w:p>
        </w:tc>
        <w:tc>
          <w:tcPr>
            <w:tcW w:w="2820" w:type="dxa"/>
            <w:vAlign w:val="bottom"/>
          </w:tcPr>
          <w:p>
            <w:pPr>
              <w:ind w:left="2100"/>
              <w:spacing w:after="0"/>
              <w:rPr>
                <w:sz w:val="20"/>
                <w:szCs w:val="20"/>
                <w:color w:val="auto"/>
              </w:rPr>
            </w:pPr>
            <w:r>
              <w:rPr>
                <w:rFonts w:ascii="Arial" w:cs="Arial" w:eastAsia="Arial" w:hAnsi="Arial"/>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David Rudow</w:t>
            </w:r>
          </w:p>
        </w:tc>
      </w:tr>
      <w:tr>
        <w:trPr>
          <w:trHeight w:val="233"/>
        </w:trPr>
        <w:tc>
          <w:tcPr>
            <w:tcW w:w="36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2"/>
              </w:rPr>
              <w:t>David Rudow</w:t>
            </w:r>
          </w:p>
        </w:tc>
      </w:tr>
      <w:tr>
        <w:trPr>
          <w:trHeight w:val="250"/>
        </w:trPr>
        <w:tc>
          <w:tcPr>
            <w:tcW w:w="36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560" w:type="dxa"/>
            <w:vAlign w:val="bottom"/>
          </w:tcPr>
          <w:p>
            <w:pPr>
              <w:jc w:val="center"/>
              <w:spacing w:after="0"/>
              <w:rPr>
                <w:sz w:val="20"/>
                <w:szCs w:val="20"/>
                <w:color w:val="auto"/>
              </w:rPr>
            </w:pPr>
            <w:r>
              <w:rPr>
                <w:rFonts w:ascii="Arial" w:cs="Arial" w:eastAsia="Arial" w:hAnsi="Arial"/>
                <w:sz w:val="20"/>
                <w:szCs w:val="20"/>
                <w:color w:val="auto"/>
                <w:w w:val="93"/>
              </w:rPr>
              <w:t>Chief Financial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upperLetter"/>
      <w:start w:val="1"/>
    </w:lvl>
  </w:abstractNum>
  <w:abstractNum w:abstractNumId="8">
    <w:nsid w:val="DED7263"/>
    <w:multiLevelType w:val="hybridMultilevel"/>
    <w:lvl w:ilvl="0">
      <w:lvlJc w:val="left"/>
      <w:lvlText w:val="%1."/>
      <w:numFmt w:val="decimal"/>
      <w:start w:val="1"/>
    </w:lvl>
    <w:lvl w:ilvl="1">
      <w:lvlJc w:val="left"/>
      <w:lvlText w:val="%2."/>
      <w:numFmt w:val="lowerLetter"/>
      <w:start w:val="1"/>
    </w:lvl>
  </w:abstractNum>
  <w:abstractNum w:abstractNumId="9">
    <w:nsid w:val="7FDCC233"/>
    <w:multiLevelType w:val="hybridMultilevel"/>
    <w:lvl w:ilvl="0">
      <w:lvlJc w:val="left"/>
      <w:lvlText w:val="(%1)"/>
      <w:numFmt w:val="upperLetter"/>
      <w:start w:val="24"/>
    </w:lvl>
    <w:lvl w:ilvl="1">
      <w:lvlJc w:val="left"/>
      <w:lvlText w:val="%2."/>
      <w:numFmt w:val="lowerLetter"/>
      <w:start w:val="3"/>
    </w:lvl>
  </w:abstractNum>
  <w:abstractNum w:abstractNumId="10">
    <w:nsid w:val="1BEFD79F"/>
    <w:multiLevelType w:val="hybridMultilevel"/>
    <w:lvl w:ilvl="0">
      <w:lvlJc w:val="left"/>
      <w:lvlText w:val="%1."/>
      <w:numFmt w:val="decimal"/>
      <w:start w:val="4"/>
    </w:lvl>
  </w:abstractNum>
  <w:abstractNum w:abstractNumId="11">
    <w:nsid w:val="41A7C4C9"/>
    <w:multiLevelType w:val="hybridMultilevel"/>
    <w:lvl w:ilvl="0">
      <w:lvlJc w:val="left"/>
      <w:lvlText w:val="%1."/>
      <w:numFmt w:val="decimal"/>
      <w:start w:val="5"/>
    </w:lvl>
    <w:lvl w:ilvl="1">
      <w:lvlJc w:val="left"/>
      <w:lvlText w:val="%2."/>
      <w:numFmt w:val="lowerLetter"/>
      <w:start w:val="1"/>
    </w:lvl>
  </w:abstractNum>
  <w:abstractNum w:abstractNumId="12">
    <w:nsid w:val="6B68079A"/>
    <w:multiLevelType w:val="hybridMultilevel"/>
    <w:lvl w:ilvl="0">
      <w:lvlJc w:val="left"/>
      <w:lvlText w:val="%1."/>
      <w:numFmt w:val="decimal"/>
      <w:start w:val="11"/>
    </w:lvl>
    <w:lvl w:ilvl="1">
      <w:lvlJc w:val="left"/>
      <w:lvlText w:val="%2."/>
      <w:numFmt w:val="lowerLetter"/>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61" Type="http://schemas.openxmlformats.org/officeDocument/2006/relationships/hyperlink" Target="https://www.sec.gov/Archives/edgar/data/1566895/000119312520187868/d828449dex31.htm" TargetMode="External"/><Relationship Id="rId62" Type="http://schemas.openxmlformats.org/officeDocument/2006/relationships/hyperlink" Target="https://www.sec.gov/Archives/edgar/data/1566895/000119312520187868/d828449dex32.htm" TargetMode="External"/><Relationship Id="rId63" Type="http://schemas.openxmlformats.org/officeDocument/2006/relationships/hyperlink" Target="https://www.sec.gov/Archives/edgar/data/1566895/000156689521000012/exhibit1018-k45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2021-06-02T16:25:44Z</dcterms:created>
  <dcterms:modified xsi:type="dcterms:W3CDTF">2021-06-02T16:25:44Z</dcterms:modified>
</cp:coreProperties>
</file>