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nCino,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0000FF"/>
        </w:rPr>
        <w:t>HMI Capital Management, L.P.</w:t>
      </w:r>
    </w:p>
    <w:p>
      <w:pPr>
        <w:spacing w:after="0" w:line="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0000FF"/>
        </w:rPr>
        <w:t>555 California Street, Suite 4900,</w:t>
      </w:r>
    </w:p>
    <w:p>
      <w:pPr>
        <w:ind w:left="364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94104</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(415) 391-9500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HMI Capital Partners,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4,990,713.00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HMI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4,990,713.00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HMI Capital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4,990,713.00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Members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4,990,713.00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Marco W. Hellman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4,990,713.00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4,990,713.00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$0.0005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nCino,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2199"/>
        <w:spacing w:after="0"/>
        <w:rPr>
          <w:sz w:val="20"/>
          <w:szCs w:val="20"/>
          <w:color w:val="auto"/>
        </w:rPr>
      </w:pPr>
      <w:r>
        <w:rPr>
          <w:rFonts w:ascii="Times New Roman" w:cs="Times New Roman" w:eastAsia="Times New Roman" w:hAnsi="Times New Roman"/>
          <w:sz w:val="22"/>
          <w:szCs w:val="22"/>
          <w:color w:val="auto"/>
        </w:rPr>
        <w:t>6770 PARKER FARM DRIVE, WILMINGTON, NORTH CAROLINA , 28405.</w:t>
      </w:r>
    </w:p>
    <w:p>
      <w:pPr>
        <w:sectPr>
          <w:pgSz w:w="11900" w:h="16838" w:orient="portrait"/>
          <w:cols w:equalWidth="0" w:num="1">
            <w:col w:w="10099"/>
          </w:cols>
          <w:pgMar w:left="360" w:top="110" w:right="1440" w:bottom="0" w:gutter="0" w:footer="0" w:header="0"/>
          <w:type w:val="continuous"/>
        </w:sectPr>
      </w:pPr>
    </w:p>
    <w:bookmarkStart w:id="5" w:name="page6"/>
    <w:bookmarkEnd w:id="5"/>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("Amendment No. 2") amends the statement on Schedule 13D filed with the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on October 21, 2024 (the "Original Schedule 13D", and the Original Schedule 13D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the "Schedule 13D"), with respect to the shares of common stock, $0.0005 par value (the "Common Stock"), of nCino, Inc., a Delaware corporation (the "Issuer"). This Amendment No. 2 amends Items 5(a)-(c) and (e) and Item 6 as set forth below. Capitalized terms used herein and not otherwise defined in this Amendment No. 2 have</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5(a) is hereby amended and restated in its entirety as follows: The percentages used in this Schedule 13D are</w:t>
      </w:r>
    </w:p>
    <w:p>
      <w:pPr>
        <w:spacing w:after="0" w:line="14" w:lineRule="exact"/>
        <w:rPr>
          <w:sz w:val="20"/>
          <w:szCs w:val="20"/>
          <w:color w:val="auto"/>
        </w:rPr>
      </w:pPr>
    </w:p>
    <w:p>
      <w:pPr>
        <w:ind w:left="920" w:right="56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calculated based upon 109,552,950 shares of Common Stock outstanding as of May 22, 2026, as reported in the Issuer's Quarterly Report on Form 10-Q filed by the Issuer with the SEC on May 27, 2026.</w:t>
      </w:r>
    </w:p>
    <w:p>
      <w:pPr>
        <w:spacing w:after="0" w:line="16" w:lineRule="exact"/>
        <w:rPr>
          <w:rFonts w:ascii="Times New Roman" w:cs="Times New Roman" w:eastAsia="Times New Roman" w:hAnsi="Times New Roman"/>
          <w:sz w:val="22"/>
          <w:szCs w:val="22"/>
          <w:color w:val="auto"/>
        </w:rPr>
      </w:pPr>
    </w:p>
    <w:p>
      <w:pPr>
        <w:ind w:left="920" w:right="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5(b) is hereby amended and restated in its entirety as follows: See rows (7) through (10) of the cover pages to this Schedule 13D for the number of shares of Common Stock as to which each Reporting Person has the sole or shared power to vote or direct the vote and sole or shared power to dispose or to direct the disposition. HMI is an investment adviser registered under the Investment Advisers Act of 1940. HMI serves as the investment adviser to the Fund and may be deemed the beneficial owner of all shares of Common Stock held by the Fund. Fund GP, which serves as the general partner to the Fund, may be deemed the beneficial owner of all shares of Common Stock held by</w:t>
      </w:r>
    </w:p>
    <w:p>
      <w:pPr>
        <w:spacing w:after="0" w:line="2" w:lineRule="exact"/>
        <w:rPr>
          <w:rFonts w:ascii="Times New Roman" w:cs="Times New Roman" w:eastAsia="Times New Roman" w:hAnsi="Times New Roman"/>
          <w:sz w:val="22"/>
          <w:szCs w:val="22"/>
          <w:color w:val="auto"/>
        </w:rPr>
      </w:pPr>
    </w:p>
    <w:p>
      <w:pPr>
        <w:ind w:left="920" w:right="160" w:hanging="912"/>
        <w:spacing w:after="0" w:line="232"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 Members GP, which serves as the general partner of HMI, may be deemed the beneficial owner of all shares of Common Stock held by the Fund. Mr. Hellman has the power to exercise investment and voting discretion, and may be deemed the beneficial owner, of all shares of Common Stock held by the Fund. Pursuant to Rule 13d-4 under the Act, as amended, each of the Fund, HMI, Fund GP, Members GP and Mr. Hellman expressly disclaim beneficial ownership over any of the securities reported in this Schedule 13D. The filing of this Schedule 13D shall not be construed as an admission that any of the Fund, HMI, Fund GP, Members GP, or Mr. Hellman are the beneficial owners of any of the securities reported herein.</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5(c) is hereby amended and restated in its entirety as follows: All transactions in the shares of Common Stock</w:t>
      </w:r>
    </w:p>
    <w:p>
      <w:pPr>
        <w:spacing w:after="0" w:line="14" w:lineRule="exact"/>
        <w:rPr>
          <w:rFonts w:ascii="Times New Roman" w:cs="Times New Roman" w:eastAsia="Times New Roman" w:hAnsi="Times New Roman"/>
          <w:sz w:val="22"/>
          <w:szCs w:val="22"/>
          <w:color w:val="auto"/>
        </w:rPr>
      </w:pPr>
    </w:p>
    <w:p>
      <w:pPr>
        <w:ind w:left="920" w:right="22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effected by the Reporting Persons during the past sixty (60) days, which were all in the open market, are set forth in Annex A, and are incorporated herein by reference.</w:t>
      </w:r>
    </w:p>
    <w:p>
      <w:pPr>
        <w:spacing w:after="0" w:line="1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June 26, 2026.</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Item 6 is hereby amended and supplemented by the addition of the following: A portion of the shares of Common Stock reported herein represents equity-based compensation granted to Mr. Nyweide for his service on the Board, which is held for the benefit of the Fund pursuant to an arrangement with HMI. Pursuant to such arrangement, up to an additional 17,021 shares of Common Stock underlying restricted stock units that remain subject to vesting may be held for the benefit of the Fund upon vesting.</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HMI Capital Partners, L.P.</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Lusine Moshkounian</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Lusine Moshkounian, Attorney-in-Fact</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HMI Capital Management, L.P.</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Lusine Moshkounian</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Lusine Moshkounian, Attorney-in-Fact</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HMI Capital Fund GP,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Lusine Moshkounian</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Lusine Moshkounian, Attorney-in-Fact</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Members GP,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Lusine Moshkounian</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Lusine Moshkounian, Attorney-in-Fact</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Marco W. Hellman</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Lusine Moshkounian</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Lusine Moshkounian, Attorney-in-Fact</w:t>
      </w:r>
    </w:p>
    <w:p>
      <w:pPr>
        <w:sectPr>
          <w:pgSz w:w="11900" w:h="16838" w:orient="portrait"/>
          <w:cols w:equalWidth="0" w:num="1">
            <w:col w:w="11160"/>
          </w:cols>
          <w:pgMar w:left="360" w:top="111" w:right="379" w:bottom="0" w:gutter="0" w:footer="0" w:header="0"/>
        </w:sectPr>
      </w:pPr>
    </w:p>
    <w:bookmarkStart w:id="6" w:name="page7"/>
    <w:bookmarkEnd w:id="6"/>
    <w:p>
      <w:pPr>
        <w:ind w:left="3600"/>
        <w:spacing w:after="0"/>
        <w:tabs>
          <w:tab w:leader="none" w:pos="46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06/30/2026</w:t>
      </w:r>
    </w:p>
    <w:p>
      <w:pPr>
        <w:sectPr>
          <w:pgSz w:w="11900" w:h="16838" w:orient="portrait"/>
          <w:cols w:equalWidth="0" w:num="1">
            <w:col w:w="9019"/>
          </w:cols>
          <w:pgMar w:left="144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TRANSACTIONS IN THE COMMON STOCK BY THE REPORTING PERSONS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following table sets forth all transactions in the shares of Common Stock during the past sixty (60) days by the Reporting Persons. Unless otherwise noted, all such transactions were effected in the open market through brokers and the price per share includes commissions. The shares of Common Stock were purchased or sold in multiple transactions at prices indicated in the column Price Per Share ($). Where a price range is provided in the column Price Range ($), the price reported in that row’s Price Per Share ($) column is a weighted average price. The shares of Common Stock were purchased or sold in multiple transactions at prices between the price ranges indicated in the Price Range ($) column. The Reporting Persons will undertake to provide to the staff of the SEC, upon request, full information regarding the number of shares of Common Stock purchased or sold at each separate price.</w:t>
      </w:r>
    </w:p>
    <w:p>
      <w:pPr>
        <w:spacing w:after="0" w:line="19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Trade Date</w:t>
            </w:r>
          </w:p>
        </w:tc>
        <w:tc>
          <w:tcPr>
            <w:tcW w:w="3200" w:type="dxa"/>
            <w:vAlign w:val="bottom"/>
            <w:gridSpan w:val="3"/>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7"/>
              </w:rPr>
              <w:t>Shares Purchased (Sold)</w:t>
            </w:r>
          </w:p>
        </w:tc>
        <w:tc>
          <w:tcPr>
            <w:tcW w:w="3440" w:type="dxa"/>
            <w:vAlign w:val="bottom"/>
            <w:gridSpan w:val="3"/>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w w:val="97"/>
              </w:rPr>
              <w:t xml:space="preserve">Price per Share </w:t>
            </w:r>
            <w:r>
              <w:rPr>
                <w:rFonts w:ascii="Times New Roman" w:cs="Times New Roman" w:eastAsia="Times New Roman" w:hAnsi="Times New Roman"/>
                <w:sz w:val="20"/>
                <w:szCs w:val="20"/>
                <w:b w:val="1"/>
                <w:bCs w:val="1"/>
                <w:u w:val="single" w:color="auto"/>
                <w:color w:val="auto"/>
                <w:w w:val="97"/>
              </w:rPr>
              <w:t>($</w:t>
            </w:r>
            <w:r>
              <w:rPr>
                <w:rFonts w:ascii="Times New Roman" w:cs="Times New Roman" w:eastAsia="Times New Roman" w:hAnsi="Times New Roman"/>
                <w:sz w:val="20"/>
                <w:szCs w:val="20"/>
                <w:b w:val="1"/>
                <w:bCs w:val="1"/>
                <w:color w:val="auto"/>
                <w:w w:val="97"/>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 xml:space="preserve">Price Range </w:t>
            </w:r>
            <w:r>
              <w:rPr>
                <w:rFonts w:ascii="Times New Roman" w:cs="Times New Roman" w:eastAsia="Times New Roman" w:hAnsi="Times New Roman"/>
                <w:sz w:val="20"/>
                <w:szCs w:val="20"/>
                <w:b w:val="1"/>
                <w:bCs w:val="1"/>
                <w:u w:val="single" w:color="auto"/>
                <w:color w:val="auto"/>
                <w:w w:val="96"/>
              </w:rPr>
              <w:t>($</w:t>
            </w:r>
            <w:r>
              <w:rPr>
                <w:rFonts w:ascii="Times New Roman" w:cs="Times New Roman" w:eastAsia="Times New Roman" w:hAnsi="Times New Roman"/>
                <w:sz w:val="20"/>
                <w:szCs w:val="20"/>
                <w:b w:val="1"/>
                <w:bCs w:val="1"/>
                <w:color w:val="auto"/>
                <w:w w:val="96"/>
              </w:rPr>
              <w:t>)</w:t>
            </w:r>
          </w:p>
        </w:tc>
      </w:tr>
      <w:tr>
        <w:trPr>
          <w:trHeight w:val="254"/>
        </w:trPr>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8"/>
              </w:rPr>
              <w:t>06/24/2026</w:t>
            </w: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(100,000)</w:t>
            </w: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$14.75</w:t>
            </w:r>
          </w:p>
        </w:tc>
        <w:tc>
          <w:tcPr>
            <w:tcW w:w="1360" w:type="dxa"/>
            <w:vAlign w:val="bottom"/>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$14.67 – $14.88</w:t>
            </w:r>
          </w:p>
        </w:tc>
      </w:tr>
      <w:tr>
        <w:trPr>
          <w:trHeight w:val="258"/>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06/26/2026</w:t>
            </w:r>
          </w:p>
        </w:tc>
        <w:tc>
          <w:tcPr>
            <w:tcW w:w="660" w:type="dxa"/>
            <w:vAlign w:val="bottom"/>
          </w:tcPr>
          <w:p>
            <w:pPr>
              <w:spacing w:after="0"/>
              <w:rPr>
                <w:sz w:val="22"/>
                <w:szCs w:val="22"/>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6"/>
              </w:rPr>
              <w:t>(785,000)</w:t>
            </w:r>
          </w:p>
        </w:tc>
        <w:tc>
          <w:tcPr>
            <w:tcW w:w="500" w:type="dxa"/>
            <w:vAlign w:val="bottom"/>
          </w:tcPr>
          <w:p>
            <w:pPr>
              <w:spacing w:after="0"/>
              <w:rPr>
                <w:sz w:val="22"/>
                <w:szCs w:val="22"/>
                <w:color w:val="auto"/>
              </w:rPr>
            </w:pPr>
          </w:p>
        </w:tc>
        <w:tc>
          <w:tcPr>
            <w:tcW w:w="208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auto"/>
                <w:w w:val="98"/>
              </w:rPr>
              <w:t>$15.44</w:t>
            </w:r>
          </w:p>
        </w:tc>
        <w:tc>
          <w:tcPr>
            <w:tcW w:w="1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$15.10 – $15.72</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2026-06-30T16:55:49Z</dcterms:created>
  <dcterms:modified xsi:type="dcterms:W3CDTF">2026-06-30T16:55:49Z</dcterms:modified>
</cp:coreProperties>
</file>