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4240" w:right="1820" w:hanging="2411"/>
        <w:spacing w:after="0" w:line="269" w:lineRule="auto"/>
        <w:tabs>
          <w:tab w:leader="none" w:pos="2098"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July 31, 2023</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4" w:lineRule="exact"/>
        <w:rPr>
          <w:rFonts w:ascii="MS PGothic" w:cs="MS PGothic" w:eastAsia="MS PGothic" w:hAnsi="MS PGothic"/>
          <w:sz w:val="14"/>
          <w:szCs w:val="14"/>
          <w:color w:val="auto"/>
        </w:rPr>
      </w:pPr>
    </w:p>
    <w:p>
      <w:pPr>
        <w:ind w:left="4460" w:right="1820" w:hanging="2637"/>
        <w:spacing w:after="0" w:line="261" w:lineRule="auto"/>
        <w:tabs>
          <w:tab w:leader="none" w:pos="210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__to 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Commission File Number: 001-41211</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31"/>
                <w:szCs w:val="31"/>
                <w:b w:val="1"/>
                <w:bCs w:val="1"/>
                <w:color w:val="auto"/>
                <w:w w:val="92"/>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49"/>
        </w:trPr>
        <w:tc>
          <w:tcPr>
            <w:tcW w:w="1340" w:type="dxa"/>
            <w:vAlign w:val="bottom"/>
          </w:tcPr>
          <w:p>
            <w:pPr>
              <w:spacing w:after="0"/>
              <w:rPr>
                <w:sz w:val="21"/>
                <w:szCs w:val="21"/>
                <w:color w:val="auto"/>
              </w:rPr>
            </w:pPr>
          </w:p>
        </w:tc>
        <w:tc>
          <w:tcPr>
            <w:tcW w:w="23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w w:val="91"/>
              </w:rPr>
              <w:t>Delaware</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40" w:type="dxa"/>
            <w:vAlign w:val="bottom"/>
            <w:gridSpan w:val="2"/>
          </w:tcPr>
          <w:p>
            <w:pPr>
              <w:jc w:val="center"/>
              <w:ind w:left="304"/>
              <w:spacing w:after="0"/>
              <w:rPr>
                <w:sz w:val="20"/>
                <w:szCs w:val="20"/>
                <w:color w:val="auto"/>
              </w:rPr>
            </w:pPr>
            <w:r>
              <w:rPr>
                <w:rFonts w:ascii="Arial" w:cs="Arial" w:eastAsia="Arial" w:hAnsi="Arial"/>
                <w:sz w:val="16"/>
                <w:szCs w:val="16"/>
                <w:b w:val="1"/>
                <w:bCs w:val="1"/>
                <w:color w:val="auto"/>
                <w:w w:val="91"/>
              </w:rPr>
              <w:t>87-4154342</w:t>
            </w:r>
          </w:p>
        </w:tc>
      </w:tr>
      <w:tr>
        <w:trPr>
          <w:trHeight w:val="172"/>
        </w:trPr>
        <w:tc>
          <w:tcPr>
            <w:tcW w:w="3660" w:type="dxa"/>
            <w:vAlign w:val="bottom"/>
            <w:gridSpan w:val="3"/>
          </w:tcPr>
          <w:p>
            <w:pPr>
              <w:jc w:val="center"/>
              <w:ind w:left="4"/>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3660" w:type="dxa"/>
            <w:vAlign w:val="bottom"/>
            <w:gridSpan w:val="3"/>
          </w:tcPr>
          <w:p>
            <w:pPr>
              <w:jc w:val="center"/>
              <w:ind w:left="24"/>
              <w:spacing w:after="0"/>
              <w:rPr>
                <w:sz w:val="20"/>
                <w:szCs w:val="20"/>
                <w:color w:val="auto"/>
              </w:rPr>
            </w:pPr>
            <w:r>
              <w:rPr>
                <w:rFonts w:ascii="Arial" w:cs="Arial" w:eastAsia="Arial" w:hAnsi="Arial"/>
                <w:sz w:val="16"/>
                <w:szCs w:val="16"/>
                <w:i w:val="1"/>
                <w:iCs w:val="1"/>
                <w:color w:val="auto"/>
                <w:w w:val="96"/>
              </w:rPr>
              <w:t>incorporation or organization)</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6"/>
              </w:rPr>
              <w:t>Identification No.)</w:t>
            </w:r>
          </w:p>
        </w:tc>
      </w:tr>
      <w:tr>
        <w:trPr>
          <w:trHeight w:val="276"/>
        </w:trPr>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5"/>
              </w:rPr>
              <w:t>6770 Parker Farm Drive</w:t>
            </w:r>
          </w:p>
        </w:tc>
        <w:tc>
          <w:tcPr>
            <w:tcW w:w="3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84"/>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Wilmington, North Carolina 28405</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506"/>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Arial" w:cs="Arial" w:eastAsia="Arial" w:hAnsi="Arial"/>
                <w:sz w:val="16"/>
                <w:szCs w:val="16"/>
                <w:b w:val="1"/>
                <w:bCs w:val="1"/>
                <w:color w:val="auto"/>
                <w:w w:val="93"/>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86"/>
        </w:trPr>
        <w:tc>
          <w:tcPr>
            <w:tcW w:w="36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8"/>
        </w:trPr>
        <w:tc>
          <w:tcPr>
            <w:tcW w:w="1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40" w:type="dxa"/>
            <w:vAlign w:val="bottom"/>
          </w:tcPr>
          <w:p>
            <w:pPr>
              <w:spacing w:after="0"/>
              <w:rPr>
                <w:sz w:val="19"/>
                <w:szCs w:val="19"/>
                <w:color w:val="auto"/>
              </w:rPr>
            </w:pPr>
          </w:p>
        </w:tc>
        <w:tc>
          <w:tcPr>
            <w:tcW w:w="4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04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1"/>
        </w:trPr>
        <w:tc>
          <w:tcPr>
            <w:tcW w:w="3660" w:type="dxa"/>
            <w:vAlign w:val="bottom"/>
            <w:gridSpan w:val="3"/>
          </w:tcPr>
          <w:p>
            <w:pPr>
              <w:jc w:val="center"/>
              <w:ind w:left="4"/>
              <w:spacing w:after="0"/>
              <w:rPr>
                <w:sz w:val="20"/>
                <w:szCs w:val="20"/>
                <w:color w:val="auto"/>
              </w:rPr>
            </w:pPr>
            <w:r>
              <w:rPr>
                <w:rFonts w:ascii="Arial" w:cs="Arial" w:eastAsia="Arial" w:hAnsi="Arial"/>
                <w:sz w:val="14"/>
                <w:szCs w:val="14"/>
                <w:color w:val="auto"/>
                <w:w w:val="91"/>
              </w:rPr>
              <w:t>Common stock, par value $0.0005 per share</w:t>
            </w:r>
          </w:p>
        </w:tc>
        <w:tc>
          <w:tcPr>
            <w:tcW w:w="1380" w:type="dxa"/>
            <w:vAlign w:val="bottom"/>
          </w:tcPr>
          <w:p>
            <w:pPr>
              <w:spacing w:after="0"/>
              <w:rPr>
                <w:sz w:val="18"/>
                <w:szCs w:val="18"/>
                <w:color w:val="auto"/>
              </w:rPr>
            </w:pPr>
          </w:p>
        </w:tc>
        <w:tc>
          <w:tcPr>
            <w:tcW w:w="2620" w:type="dxa"/>
            <w:vAlign w:val="bottom"/>
            <w:gridSpan w:val="2"/>
          </w:tcPr>
          <w:p>
            <w:pPr>
              <w:jc w:val="center"/>
              <w:ind w:right="1480"/>
              <w:spacing w:after="0"/>
              <w:rPr>
                <w:sz w:val="20"/>
                <w:szCs w:val="20"/>
                <w:color w:val="auto"/>
              </w:rPr>
            </w:pPr>
            <w:r>
              <w:rPr>
                <w:rFonts w:ascii="Arial" w:cs="Arial" w:eastAsia="Arial" w:hAnsi="Arial"/>
                <w:sz w:val="14"/>
                <w:szCs w:val="14"/>
                <w:color w:val="auto"/>
              </w:rPr>
              <w:t>NCNO</w:t>
            </w: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331" w:lineRule="exact"/>
        <w:rPr>
          <w:sz w:val="24"/>
          <w:szCs w:val="24"/>
          <w:color w:val="auto"/>
        </w:rPr>
      </w:pPr>
    </w:p>
    <w:p>
      <w:pPr>
        <w:ind w:right="22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40" w:lineRule="exact"/>
        <w:rPr>
          <w:sz w:val="24"/>
          <w:szCs w:val="24"/>
          <w:color w:val="auto"/>
        </w:rPr>
      </w:pPr>
    </w:p>
    <w:p>
      <w:pPr>
        <w:ind w:right="10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67"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7"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347" w:lineRule="exact"/>
        <w:rPr>
          <w:sz w:val="24"/>
          <w:szCs w:val="24"/>
          <w:color w:val="auto"/>
        </w:rPr>
      </w:pPr>
    </w:p>
    <w:p>
      <w:pPr>
        <w:ind w:right="560"/>
        <w:spacing w:after="0" w:line="19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60"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112,911,195 shares of common stock, $0.0005 par value per share, as of August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15"/>
        </w:trPr>
        <w:tc>
          <w:tcPr>
            <w:tcW w:w="20" w:type="dxa"/>
            <w:vAlign w:val="bottom"/>
          </w:tcPr>
          <w:p>
            <w:pPr>
              <w:spacing w:after="0"/>
              <w:rPr>
                <w:sz w:val="18"/>
                <w:szCs w:val="18"/>
                <w:color w:val="auto"/>
              </w:rPr>
            </w:pPr>
          </w:p>
        </w:tc>
        <w:tc>
          <w:tcPr>
            <w:tcW w:w="10600" w:type="dxa"/>
            <w:vAlign w:val="bottom"/>
            <w:gridSpan w:val="24"/>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sz w:val="20"/>
                <w:szCs w:val="20"/>
                <w:color w:val="auto"/>
              </w:rPr>
            </w:pPr>
            <w:r>
              <w:rPr>
                <w:rFonts w:ascii="Arial" w:cs="Arial" w:eastAsia="Arial" w:hAnsi="Arial"/>
                <w:sz w:val="18"/>
                <w:szCs w:val="18"/>
                <w:b w:val="1"/>
                <w:bCs w:val="1"/>
                <w:color w:val="0000FF"/>
                <w:w w:val="94"/>
              </w:rPr>
              <w:t>Part I. Financial Information</w:t>
            </w:r>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3700" w:type="dxa"/>
            <w:vAlign w:val="bottom"/>
            <w:gridSpan w:val="10"/>
          </w:tcPr>
          <w:p>
            <w:pPr>
              <w:spacing w:after="0"/>
              <w:rPr>
                <w:sz w:val="20"/>
                <w:szCs w:val="20"/>
                <w:color w:val="auto"/>
              </w:rPr>
            </w:pPr>
            <w:r>
              <w:rPr>
                <w:rFonts w:ascii="Arial" w:cs="Arial" w:eastAsia="Arial" w:hAnsi="Arial"/>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8"/>
              </w:rPr>
              <w:t>Condensed Consolidated Balance Sheets as of January 31, 2023 and July 31, 2023 (Unaudited)</w:t>
            </w:r>
          </w:p>
        </w:tc>
        <w:tc>
          <w:tcPr>
            <w:tcW w:w="28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Unaudited Condensed Consolidated Statements of Operations for the Three and Six Months Ended July 31, 2022 and 2023</w:t>
            </w:r>
          </w:p>
        </w:tc>
        <w:tc>
          <w:tcPr>
            <w:tcW w:w="84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89"/>
              </w:rPr>
              <w:t>Unaudited Condensed Consolidated Statements of Comprehensive Loss for the Three and Six Months Ended July 31, 2022 and 2023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Unaudited Condensed Consolidated Statements of Stockholders' Equity for the Three and Six Months Ended July 31, 2022 and 2023</w:t>
            </w:r>
          </w:p>
        </w:tc>
        <w:tc>
          <w:tcPr>
            <w:tcW w:w="14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1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Unaudited Condensed Consolidated Statements of Cash Flows for the Six Months Ended July 31, 2022 and 2023</w:t>
            </w:r>
          </w:p>
        </w:tc>
        <w:tc>
          <w:tcPr>
            <w:tcW w:w="156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2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34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sz w:val="20"/>
                <w:szCs w:val="20"/>
                <w:color w:val="auto"/>
              </w:rPr>
            </w:pPr>
            <w:r>
              <w:rPr>
                <w:rFonts w:ascii="Arial" w:cs="Arial" w:eastAsia="Arial" w:hAnsi="Arial"/>
                <w:sz w:val="18"/>
                <w:szCs w:val="18"/>
                <w:b w:val="1"/>
                <w:bCs w:val="1"/>
                <w:color w:val="0000FF"/>
                <w:w w:val="97"/>
              </w:rPr>
              <w:t>Part II. Other Information</w:t>
            </w:r>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Defaults Upon Senior Securities</w:t>
            </w:r>
          </w:p>
        </w:tc>
        <w:tc>
          <w:tcPr>
            <w:tcW w:w="536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73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9100" w:type="dxa"/>
            <w:vAlign w:val="bottom"/>
            <w:gridSpan w:val="2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40" w:firstLine="891"/>
        <w:spacing w:after="0" w:line="255" w:lineRule="auto"/>
        <w:rPr>
          <w:sz w:val="20"/>
          <w:szCs w:val="20"/>
          <w:color w:val="auto"/>
        </w:rPr>
      </w:pPr>
      <w:r>
        <w:rPr>
          <w:rFonts w:ascii="Arial" w:cs="Arial" w:eastAsia="Arial" w:hAnsi="Arial"/>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92" w:lineRule="exact"/>
        <w:rPr>
          <w:sz w:val="20"/>
          <w:szCs w:val="20"/>
          <w:color w:val="auto"/>
        </w:rPr>
      </w:pPr>
    </w:p>
    <w:p>
      <w:pPr>
        <w:ind w:firstLine="891"/>
        <w:spacing w:after="0" w:line="279"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71" w:lineRule="exact"/>
        <w:rPr>
          <w:sz w:val="20"/>
          <w:szCs w:val="20"/>
          <w:color w:val="auto"/>
        </w:rPr>
      </w:pPr>
    </w:p>
    <w:p>
      <w:pPr>
        <w:ind w:right="400" w:firstLine="891"/>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4" w:lineRule="exact"/>
        <w:rPr>
          <w:sz w:val="20"/>
          <w:szCs w:val="20"/>
          <w:color w:val="auto"/>
        </w:rPr>
      </w:pPr>
    </w:p>
    <w:p>
      <w:pPr>
        <w:ind w:right="400" w:firstLine="891"/>
        <w:spacing w:after="0" w:line="277" w:lineRule="auto"/>
        <w:rPr>
          <w:sz w:val="20"/>
          <w:szCs w:val="20"/>
          <w:color w:val="auto"/>
        </w:rPr>
      </w:pPr>
      <w:r>
        <w:rPr>
          <w:rFonts w:ascii="Arial" w:cs="Arial" w:eastAsia="Arial" w:hAnsi="Arial"/>
          <w:sz w:val="18"/>
          <w:szCs w:val="18"/>
          <w:color w:val="auto"/>
        </w:rPr>
        <w:t>As used in this report, the terms “nCino,” the “Company,” “we,” “us,” and “our” mean nCino, Inc. and its subsidiaries unless the context indicates otherwise.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31, 2023</w:t>
            </w:r>
          </w:p>
        </w:tc>
        <w:tc>
          <w:tcPr>
            <w:tcW w:w="180" w:type="dxa"/>
            <w:vAlign w:val="bottom"/>
          </w:tcPr>
          <w:p>
            <w:pPr>
              <w:spacing w:after="0"/>
              <w:rPr>
                <w:sz w:val="16"/>
                <w:szCs w:val="16"/>
                <w:color w:val="auto"/>
              </w:rPr>
            </w:pPr>
          </w:p>
        </w:tc>
        <w:tc>
          <w:tcPr>
            <w:tcW w:w="112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July 31, 2023</w:t>
            </w:r>
          </w:p>
        </w:tc>
      </w:tr>
      <w:tr>
        <w:trPr>
          <w:trHeight w:val="26"/>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w w:val="96"/>
              </w:rPr>
              <w:t>Cash and cash equivalents (VIE: $2,019 and $1,081 at January 31, 2023 and July 31, 2023,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82,036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98,003</w:t>
            </w: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4"/>
              </w:rPr>
              <w:t>Accounts receivable, less allowances of $899 and $876 at January 31, 2023 and July 31, 2023, respectively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80,901</w:t>
            </w: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9,495</w:t>
            </w: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20,976</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207,193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209,375</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81,938</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8,232</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839,440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839,042</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138,655</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Investments (related party $2,500 at January 31, 2023 and July 31, 2023)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6,531</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prepaid expenses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23"/>
        </w:trPr>
        <w:tc>
          <w:tcPr>
            <w:tcW w:w="8560" w:type="dxa"/>
            <w:vAlign w:val="bottom"/>
          </w:tcPr>
          <w:p>
            <w:pPr>
              <w:ind w:left="9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1,327,269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1,301,615</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12,385</w:t>
            </w: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w:t>
            </w: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154,871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169,314</w:t>
            </w: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obligations,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r>
      <w:tr>
        <w:trPr>
          <w:trHeight w:val="223"/>
        </w:trPr>
        <w:tc>
          <w:tcPr>
            <w:tcW w:w="85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208,307</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5,821</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Revolving credit facility,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obligations, noncurrent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53,432</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299,602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270,479</w:t>
            </w:r>
          </w:p>
        </w:tc>
      </w:tr>
      <w:tr>
        <w:trPr>
          <w:trHeight w:val="21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Redeemable non-controlling interest (Note 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2,995</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5"/>
        </w:trPr>
        <w:tc>
          <w:tcPr>
            <w:tcW w:w="8560" w:type="dxa"/>
            <w:vAlign w:val="bottom"/>
          </w:tcPr>
          <w:p>
            <w:pPr>
              <w:ind w:left="460"/>
              <w:spacing w:after="0" w:line="176" w:lineRule="exact"/>
              <w:rPr>
                <w:sz w:val="20"/>
                <w:szCs w:val="20"/>
                <w:color w:val="auto"/>
              </w:rPr>
            </w:pPr>
            <w:r>
              <w:rPr>
                <w:rFonts w:ascii="Arial" w:cs="Arial" w:eastAsia="Arial" w:hAnsi="Arial"/>
                <w:sz w:val="18"/>
                <w:szCs w:val="18"/>
                <w:color w:val="auto"/>
                <w:w w:val="96"/>
              </w:rPr>
              <w:t>Preferred stock, $0.001 par value; 10,000,000 shares authorized, and none issued and outstanding as of</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60" w:type="dxa"/>
            <w:vAlign w:val="bottom"/>
          </w:tcPr>
          <w:p>
            <w:pPr>
              <w:ind w:left="620"/>
              <w:spacing w:after="0"/>
              <w:rPr>
                <w:sz w:val="20"/>
                <w:szCs w:val="20"/>
                <w:color w:val="auto"/>
              </w:rPr>
            </w:pPr>
            <w:r>
              <w:rPr>
                <w:rFonts w:ascii="Arial" w:cs="Arial" w:eastAsia="Arial" w:hAnsi="Arial"/>
                <w:sz w:val="18"/>
                <w:szCs w:val="18"/>
                <w:color w:val="auto"/>
              </w:rPr>
              <w:t>January 31, 2023 and July 31, 2023</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2"/>
              </w:rPr>
              <w:t>Common stock, $0.0005 par value; 500,000,000 shares authorized as of January 31, 2023 and July 31, 2023;</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8"/>
        </w:trPr>
        <w:tc>
          <w:tcPr>
            <w:tcW w:w="8560" w:type="dxa"/>
            <w:vAlign w:val="bottom"/>
            <w:shd w:val="clear" w:color="auto" w:fill="CCEEFF"/>
          </w:tcPr>
          <w:p>
            <w:pPr>
              <w:ind w:left="620"/>
              <w:spacing w:after="0" w:line="189" w:lineRule="exact"/>
              <w:rPr>
                <w:sz w:val="20"/>
                <w:szCs w:val="20"/>
                <w:color w:val="auto"/>
              </w:rPr>
            </w:pPr>
            <w:r>
              <w:rPr>
                <w:rFonts w:ascii="Arial" w:cs="Arial" w:eastAsia="Arial" w:hAnsi="Arial"/>
                <w:sz w:val="18"/>
                <w:szCs w:val="18"/>
                <w:color w:val="auto"/>
                <w:w w:val="95"/>
              </w:rPr>
              <w:t>111,424,132 and 112,661,660 shares issued and outstanding as of January 31, 2023 and July 31, 2023,</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0"/>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1,333,669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1,364,757</w:t>
            </w: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29"/>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(310,341)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(337,516)</w:t>
            </w:r>
          </w:p>
        </w:tc>
      </w:tr>
      <w:tr>
        <w:trPr>
          <w:trHeight w:val="223"/>
        </w:trPr>
        <w:tc>
          <w:tcPr>
            <w:tcW w:w="85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1,028,141</w:t>
            </w:r>
          </w:p>
        </w:tc>
      </w:tr>
      <w:tr>
        <w:trPr>
          <w:trHeight w:val="223"/>
        </w:trPr>
        <w:tc>
          <w:tcPr>
            <w:tcW w:w="8560" w:type="dxa"/>
            <w:vAlign w:val="bottom"/>
          </w:tcPr>
          <w:p>
            <w:pPr>
              <w:ind w:left="90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1,327,269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1,301,615</w:t>
            </w:r>
          </w:p>
        </w:tc>
      </w:tr>
      <w:tr>
        <w:trPr>
          <w:trHeight w:val="21"/>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84,445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99,897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163,634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197,237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193,838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230,908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58,876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35,359</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94,235</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136,673</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62,105</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58,084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39,905</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160,094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(24,785)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Net loss attributable to redeemable non-controlling interest (Note</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176"/>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8"/>
              </w:rPr>
              <w:t>Adjustment attributable to redeemable non-controlling interest</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(Note 3)</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Net loss attributable to nCino,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nCino, Inc.: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110,391,865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112,396,716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110,198,509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112,262,527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(27,723)</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5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(27,583)</w:t>
            </w:r>
          </w:p>
        </w:tc>
      </w:tr>
      <w:tr>
        <w:trPr>
          <w:trHeight w:val="156"/>
        </w:trPr>
        <w:tc>
          <w:tcPr>
            <w:tcW w:w="5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0"/>
              </w:rPr>
              <w:t>Less comprehensive loss attributable to redeemable non-controlling</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redeemable non-controlling interest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175"/>
        </w:trPr>
        <w:tc>
          <w:tcPr>
            <w:tcW w:w="5320" w:type="dxa"/>
            <w:vAlign w:val="bottom"/>
          </w:tcPr>
          <w:p>
            <w:pPr>
              <w:ind w:left="240"/>
              <w:spacing w:after="0" w:line="176" w:lineRule="exact"/>
              <w:rPr>
                <w:sz w:val="20"/>
                <w:szCs w:val="20"/>
                <w:color w:val="auto"/>
              </w:rPr>
            </w:pPr>
            <w:r>
              <w:rPr>
                <w:rFonts w:ascii="Arial" w:cs="Arial" w:eastAsia="Arial" w:hAnsi="Arial"/>
                <w:sz w:val="18"/>
                <w:szCs w:val="18"/>
                <w:color w:val="auto"/>
              </w:rPr>
              <w:t>Foreign currency translation attributable to redeemable non-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320" w:type="dxa"/>
            <w:vAlign w:val="bottom"/>
          </w:tcPr>
          <w:p>
            <w:pPr>
              <w:ind w:left="240"/>
              <w:spacing w:after="0"/>
              <w:rPr>
                <w:sz w:val="20"/>
                <w:szCs w:val="20"/>
                <w:color w:val="auto"/>
              </w:rPr>
            </w:pPr>
            <w:r>
              <w:rPr>
                <w:rFonts w:ascii="Arial" w:cs="Arial" w:eastAsia="Arial" w:hAnsi="Arial"/>
                <w:sz w:val="18"/>
                <w:szCs w:val="18"/>
                <w:color w:val="auto"/>
              </w:rPr>
              <w:t>controlling interest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5"/>
        </w:trPr>
        <w:tc>
          <w:tcPr>
            <w:tcW w:w="5320" w:type="dxa"/>
            <w:vAlign w:val="bottom"/>
            <w:tcBorders>
              <w:top w:val="single" w:sz="8" w:color="CCEEFF"/>
            </w:tcBorders>
            <w:shd w:val="clear" w:color="auto" w:fill="CCEEFF"/>
          </w:tcPr>
          <w:p>
            <w:pPr>
              <w:ind w:left="680"/>
              <w:spacing w:after="0" w:line="205" w:lineRule="exact"/>
              <w:rPr>
                <w:sz w:val="20"/>
                <w:szCs w:val="20"/>
                <w:color w:val="auto"/>
              </w:rPr>
            </w:pPr>
            <w:r>
              <w:rPr>
                <w:rFonts w:ascii="Arial" w:cs="Arial" w:eastAsia="Arial" w:hAnsi="Arial"/>
                <w:sz w:val="18"/>
                <w:szCs w:val="18"/>
                <w:b w:val="1"/>
                <w:bCs w:val="1"/>
                <w:color w:val="auto"/>
              </w:rPr>
              <w:t>Comprehensive loss attributable to redeemable non-</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61"/>
        </w:trPr>
        <w:tc>
          <w:tcPr>
            <w:tcW w:w="5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controlling interest</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3"/>
        </w:trPr>
        <w:tc>
          <w:tcPr>
            <w:tcW w:w="5320" w:type="dxa"/>
            <w:vAlign w:val="bottom"/>
          </w:tcPr>
          <w:p>
            <w:pPr>
              <w:ind w:left="680"/>
              <w:spacing w:after="0"/>
              <w:rPr>
                <w:sz w:val="20"/>
                <w:szCs w:val="20"/>
                <w:color w:val="auto"/>
              </w:rPr>
            </w:pPr>
            <w:r>
              <w:rPr>
                <w:rFonts w:ascii="Arial" w:cs="Arial" w:eastAsia="Arial" w:hAnsi="Arial"/>
                <w:sz w:val="18"/>
                <w:szCs w:val="18"/>
                <w:b w:val="1"/>
                <w:bCs w:val="1"/>
                <w:color w:val="auto"/>
              </w:rPr>
              <w:t>Comprehensive loss attributable to nCino,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(27,025)</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July 31, 2022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840" w:type="dxa"/>
            <w:vAlign w:val="bottom"/>
          </w:tcPr>
          <w:p>
            <w:pPr>
              <w:spacing w:after="0"/>
              <w:rPr>
                <w:sz w:val="11"/>
                <w:szCs w:val="11"/>
                <w:color w:val="auto"/>
              </w:rPr>
            </w:pPr>
          </w:p>
        </w:tc>
        <w:tc>
          <w:tcPr>
            <w:tcW w:w="2120" w:type="dxa"/>
            <w:vAlign w:val="bottom"/>
            <w:gridSpan w:val="3"/>
            <w:vMerge w:val="restart"/>
          </w:tcPr>
          <w:p>
            <w:pPr>
              <w:jc w:val="right"/>
              <w:ind w:right="379"/>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80"/>
              <w:spacing w:after="0" w:line="137"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84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restart"/>
          </w:tcPr>
          <w:p>
            <w:pPr>
              <w:jc w:val="center"/>
              <w:ind w:right="180"/>
              <w:spacing w:after="0" w:line="121" w:lineRule="exact"/>
              <w:rPr>
                <w:sz w:val="20"/>
                <w:szCs w:val="20"/>
                <w:color w:val="auto"/>
              </w:rPr>
            </w:pPr>
            <w:r>
              <w:rPr>
                <w:rFonts w:ascii="Arial" w:cs="Arial" w:eastAsia="Arial" w:hAnsi="Arial"/>
                <w:sz w:val="13"/>
                <w:szCs w:val="13"/>
                <w:color w:val="auto"/>
              </w:rPr>
              <w:t>Paid-in</w:t>
            </w:r>
          </w:p>
        </w:tc>
        <w:tc>
          <w:tcPr>
            <w:tcW w:w="120" w:type="dxa"/>
            <w:vAlign w:val="bottom"/>
          </w:tcPr>
          <w:p>
            <w:pPr>
              <w:spacing w:after="0"/>
              <w:rPr>
                <w:sz w:val="7"/>
                <w:szCs w:val="7"/>
                <w:color w:val="auto"/>
              </w:rPr>
            </w:pPr>
          </w:p>
        </w:tc>
        <w:tc>
          <w:tcPr>
            <w:tcW w:w="1140" w:type="dxa"/>
            <w:vAlign w:val="bottom"/>
            <w:gridSpan w:val="2"/>
            <w:vMerge w:val="restart"/>
          </w:tcPr>
          <w:p>
            <w:pPr>
              <w:jc w:val="center"/>
              <w:ind w:right="240"/>
              <w:spacing w:after="0" w:line="121" w:lineRule="exact"/>
              <w:rPr>
                <w:sz w:val="20"/>
                <w:szCs w:val="20"/>
                <w:color w:val="auto"/>
              </w:rPr>
            </w:pPr>
            <w:r>
              <w:rPr>
                <w:rFonts w:ascii="Arial" w:cs="Arial" w:eastAsia="Arial" w:hAnsi="Arial"/>
                <w:sz w:val="13"/>
                <w:szCs w:val="13"/>
                <w:color w:val="auto"/>
                <w:w w:val="98"/>
              </w:rPr>
              <w:t>Comprehensive</w:t>
            </w:r>
          </w:p>
        </w:tc>
        <w:tc>
          <w:tcPr>
            <w:tcW w:w="160" w:type="dxa"/>
            <w:vAlign w:val="bottom"/>
          </w:tcPr>
          <w:p>
            <w:pPr>
              <w:spacing w:after="0"/>
              <w:rPr>
                <w:sz w:val="7"/>
                <w:szCs w:val="7"/>
                <w:color w:val="auto"/>
              </w:rPr>
            </w:pPr>
          </w:p>
        </w:tc>
        <w:tc>
          <w:tcPr>
            <w:tcW w:w="1080" w:type="dxa"/>
            <w:vAlign w:val="bottom"/>
            <w:gridSpan w:val="2"/>
            <w:vMerge w:val="restart"/>
          </w:tcPr>
          <w:p>
            <w:pPr>
              <w:ind w:left="40"/>
              <w:spacing w:after="0" w:line="121" w:lineRule="exact"/>
              <w:rPr>
                <w:sz w:val="20"/>
                <w:szCs w:val="20"/>
                <w:color w:val="auto"/>
              </w:rPr>
            </w:pPr>
            <w:r>
              <w:rPr>
                <w:rFonts w:ascii="Arial" w:cs="Arial" w:eastAsia="Arial" w:hAnsi="Arial"/>
                <w:sz w:val="13"/>
                <w:szCs w:val="13"/>
                <w:color w:val="auto"/>
              </w:rPr>
              <w:t>Accumulated</w:t>
            </w: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color w:val="auto"/>
              </w:rPr>
              <w:t>Deficit</w:t>
            </w:r>
          </w:p>
        </w:tc>
        <w:tc>
          <w:tcPr>
            <w:tcW w:w="240" w:type="dxa"/>
            <w:vAlign w:val="bottom"/>
          </w:tcPr>
          <w:p>
            <w:pPr>
              <w:spacing w:after="0"/>
              <w:rPr>
                <w:sz w:val="17"/>
                <w:szCs w:val="17"/>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April 30,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110,128,561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1,290,295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0"/>
              </w:rPr>
              <w:t>(239,275)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1,051,837</w:t>
            </w: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148,419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246,834</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840" w:type="dxa"/>
            <w:vAlign w:val="bottom"/>
          </w:tcPr>
          <w:p>
            <w:pPr>
              <w:ind w:left="360"/>
              <w:spacing w:after="0" w:line="176" w:lineRule="exact"/>
              <w:rPr>
                <w:sz w:val="20"/>
                <w:szCs w:val="20"/>
                <w:color w:val="auto"/>
              </w:rPr>
            </w:pPr>
            <w:r>
              <w:rPr>
                <w:rFonts w:ascii="Arial" w:cs="Arial" w:eastAsia="Arial" w:hAnsi="Arial"/>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520"/>
              <w:spacing w:after="0"/>
              <w:rPr>
                <w:sz w:val="20"/>
                <w:szCs w:val="20"/>
                <w:color w:val="auto"/>
              </w:rPr>
            </w:pPr>
            <w:r>
              <w:rPr>
                <w:rFonts w:ascii="Arial" w:cs="Arial" w:eastAsia="Arial" w:hAnsi="Arial"/>
                <w:sz w:val="18"/>
                <w:szCs w:val="18"/>
                <w:color w:val="auto"/>
              </w:rPr>
              <w:t>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92,236</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2343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3771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ind w:left="520" w:hanging="161"/>
        <w:spacing w:after="0" w:line="247" w:lineRule="auto"/>
        <w:rPr>
          <w:sz w:val="20"/>
          <w:szCs w:val="20"/>
          <w:color w:val="auto"/>
        </w:rPr>
      </w:pPr>
      <w:r>
        <w:rPr>
          <w:rFonts w:ascii="Arial" w:cs="Arial" w:eastAsia="Arial" w:hAnsi="Arial"/>
          <w:sz w:val="16"/>
          <w:szCs w:val="16"/>
          <w:color w:val="auto"/>
        </w:rPr>
        <w:t>Net loss attributable to nCino, Inc., including adjustment to redeemable non-controlling</w:t>
      </w:r>
    </w:p>
    <w:p>
      <w:pPr>
        <w:ind w:left="520"/>
        <w:spacing w:after="0"/>
        <w:rPr>
          <w:sz w:val="20"/>
          <w:szCs w:val="20"/>
          <w:color w:val="auto"/>
        </w:rPr>
      </w:pPr>
      <w:r>
        <w:rPr>
          <w:rFonts w:ascii="Arial" w:cs="Arial" w:eastAsia="Arial" w:hAnsi="Arial"/>
          <w:sz w:val="18"/>
          <w:szCs w:val="18"/>
          <w:color w:val="auto"/>
        </w:rPr>
        <w:t>interest</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July 31, 2022</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(27,245)</w:t>
            </w:r>
          </w:p>
        </w:tc>
        <w:tc>
          <w:tcPr>
            <w:tcW w:w="0" w:type="dxa"/>
            <w:vAlign w:val="bottom"/>
          </w:tcPr>
          <w:p>
            <w:pPr>
              <w:spacing w:after="0"/>
              <w:rPr>
                <w:sz w:val="1"/>
                <w:szCs w:val="1"/>
                <w:color w:val="auto"/>
              </w:rPr>
            </w:pP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110,616,050</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94"/>
              </w:rPr>
              <w:t>1,306,339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(266,392)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1,041,221</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July 31, 2023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jc w:val="right"/>
              <w:ind w:right="379"/>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ind w:left="260"/>
              <w:spacing w:after="0" w:line="122" w:lineRule="exact"/>
              <w:rPr>
                <w:sz w:val="20"/>
                <w:szCs w:val="20"/>
                <w:color w:val="auto"/>
              </w:rPr>
            </w:pPr>
            <w:r>
              <w:rPr>
                <w:rFonts w:ascii="Arial" w:cs="Arial" w:eastAsia="Arial" w:hAnsi="Arial"/>
                <w:sz w:val="14"/>
                <w:szCs w:val="14"/>
                <w:color w:val="auto"/>
              </w:rPr>
              <w:t>Paid-in</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w w:val="91"/>
              </w:rPr>
              <w:t>Comprehensive</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w w:val="93"/>
              </w:rPr>
              <w:t>Accumulated</w:t>
            </w: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260" w:type="dxa"/>
            <w:vAlign w:val="bottom"/>
            <w:gridSpan w:val="2"/>
            <w:vMerge w:val="restart"/>
          </w:tcPr>
          <w:p>
            <w:pPr>
              <w:ind w:left="400"/>
              <w:spacing w:after="0"/>
              <w:rPr>
                <w:sz w:val="20"/>
                <w:szCs w:val="20"/>
                <w:color w:val="auto"/>
              </w:rPr>
            </w:pPr>
            <w:r>
              <w:rPr>
                <w:rFonts w:ascii="Arial" w:cs="Arial" w:eastAsia="Arial" w:hAnsi="Arial"/>
                <w:sz w:val="14"/>
                <w:szCs w:val="14"/>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33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line="20" w:lineRule="exact"/>
              <w:rPr>
                <w:sz w:val="1"/>
                <w:szCs w:val="1"/>
                <w:color w:val="auto"/>
              </w:rPr>
            </w:pPr>
          </w:p>
        </w:tc>
      </w:tr>
      <w:tr>
        <w:trPr>
          <w:trHeight w:val="182"/>
        </w:trPr>
        <w:tc>
          <w:tcPr>
            <w:tcW w:w="12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00" w:space="240"/>
            <w:col w:w="738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April 30,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112,200,481</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1,346,250</w:t>
            </w: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(321,705)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1,025,419</w:t>
            </w: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93,150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247,945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3840" w:type="dxa"/>
            <w:vAlign w:val="bottom"/>
          </w:tcPr>
          <w:p>
            <w:pPr>
              <w:ind w:left="360"/>
              <w:spacing w:after="0" w:line="176" w:lineRule="exact"/>
              <w:rPr>
                <w:sz w:val="20"/>
                <w:szCs w:val="20"/>
                <w:color w:val="auto"/>
              </w:rPr>
            </w:pPr>
            <w:r>
              <w:rPr>
                <w:rFonts w:ascii="Arial" w:cs="Arial" w:eastAsia="Arial" w:hAnsi="Arial"/>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840" w:type="dxa"/>
            <w:vAlign w:val="bottom"/>
          </w:tcPr>
          <w:p>
            <w:pPr>
              <w:ind w:left="360"/>
              <w:spacing w:after="0"/>
              <w:rPr>
                <w:sz w:val="20"/>
                <w:szCs w:val="20"/>
                <w:color w:val="auto"/>
              </w:rPr>
            </w:pPr>
            <w:r>
              <w:rPr>
                <w:rFonts w:ascii="Arial" w:cs="Arial" w:eastAsia="Arial" w:hAnsi="Arial"/>
                <w:sz w:val="18"/>
                <w:szCs w:val="18"/>
                <w:color w:val="auto"/>
              </w:rPr>
              <w:t>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120,084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2,698</w:t>
            </w:r>
          </w:p>
        </w:tc>
      </w:tr>
      <w:tr>
        <w:trPr>
          <w:trHeight w:val="230"/>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15,275</w:t>
            </w: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8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9"/>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July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112,661,660</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1,364,757</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(337,516)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1,028,141</w:t>
            </w:r>
          </w:p>
        </w:tc>
      </w:tr>
      <w:tr>
        <w:trPr>
          <w:trHeight w:val="20"/>
        </w:trPr>
        <w:tc>
          <w:tcPr>
            <w:tcW w:w="3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July 31, 2022</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2100" w:type="dxa"/>
            <w:vAlign w:val="bottom"/>
            <w:gridSpan w:val="3"/>
            <w:vMerge w:val="restart"/>
          </w:tcPr>
          <w:p>
            <w:pPr>
              <w:jc w:val="right"/>
              <w:ind w:right="379"/>
              <w:spacing w:after="0"/>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7"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restart"/>
          </w:tcPr>
          <w:p>
            <w:pPr>
              <w:jc w:val="center"/>
              <w:ind w:right="240"/>
              <w:spacing w:after="0" w:line="121" w:lineRule="exact"/>
              <w:rPr>
                <w:sz w:val="20"/>
                <w:szCs w:val="20"/>
                <w:color w:val="auto"/>
              </w:rPr>
            </w:pPr>
            <w:r>
              <w:rPr>
                <w:rFonts w:ascii="Arial" w:cs="Arial" w:eastAsia="Arial" w:hAnsi="Arial"/>
                <w:sz w:val="13"/>
                <w:szCs w:val="13"/>
                <w:color w:val="auto"/>
                <w:w w:val="98"/>
              </w:rPr>
              <w:t>Paid-in</w:t>
            </w:r>
          </w:p>
        </w:tc>
        <w:tc>
          <w:tcPr>
            <w:tcW w:w="120" w:type="dxa"/>
            <w:vAlign w:val="bottom"/>
          </w:tcPr>
          <w:p>
            <w:pPr>
              <w:spacing w:after="0"/>
              <w:rPr>
                <w:sz w:val="7"/>
                <w:szCs w:val="7"/>
                <w:color w:val="auto"/>
              </w:rPr>
            </w:pPr>
          </w:p>
        </w:tc>
        <w:tc>
          <w:tcPr>
            <w:tcW w:w="1140" w:type="dxa"/>
            <w:vAlign w:val="bottom"/>
            <w:gridSpan w:val="2"/>
            <w:vMerge w:val="restart"/>
          </w:tcPr>
          <w:p>
            <w:pPr>
              <w:jc w:val="center"/>
              <w:ind w:right="200"/>
              <w:spacing w:after="0" w:line="121" w:lineRule="exact"/>
              <w:rPr>
                <w:sz w:val="20"/>
                <w:szCs w:val="20"/>
                <w:color w:val="auto"/>
              </w:rPr>
            </w:pPr>
            <w:r>
              <w:rPr>
                <w:rFonts w:ascii="Arial" w:cs="Arial" w:eastAsia="Arial" w:hAnsi="Arial"/>
                <w:sz w:val="13"/>
                <w:szCs w:val="13"/>
                <w:color w:val="auto"/>
                <w:w w:val="98"/>
              </w:rPr>
              <w:t>Comprehensive</w:t>
            </w:r>
          </w:p>
        </w:tc>
        <w:tc>
          <w:tcPr>
            <w:tcW w:w="140" w:type="dxa"/>
            <w:vAlign w:val="bottom"/>
          </w:tcPr>
          <w:p>
            <w:pPr>
              <w:spacing w:after="0"/>
              <w:rPr>
                <w:sz w:val="7"/>
                <w:szCs w:val="7"/>
                <w:color w:val="auto"/>
              </w:rPr>
            </w:pPr>
          </w:p>
        </w:tc>
        <w:tc>
          <w:tcPr>
            <w:tcW w:w="1100" w:type="dxa"/>
            <w:vAlign w:val="bottom"/>
            <w:gridSpan w:val="2"/>
            <w:vMerge w:val="restart"/>
          </w:tcPr>
          <w:p>
            <w:pPr>
              <w:ind w:left="60"/>
              <w:spacing w:after="0" w:line="121" w:lineRule="exact"/>
              <w:rPr>
                <w:sz w:val="20"/>
                <w:szCs w:val="20"/>
                <w:color w:val="auto"/>
              </w:rPr>
            </w:pPr>
            <w:r>
              <w:rPr>
                <w:rFonts w:ascii="Arial" w:cs="Arial" w:eastAsia="Arial" w:hAnsi="Arial"/>
                <w:sz w:val="13"/>
                <w:szCs w:val="13"/>
                <w:color w:val="auto"/>
              </w:rPr>
              <w:t>Accumulated</w:t>
            </w: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color w:val="auto"/>
              </w:rPr>
              <w:t>Shares</w:t>
            </w:r>
          </w:p>
        </w:tc>
        <w:tc>
          <w:tcPr>
            <w:tcW w:w="840" w:type="dxa"/>
            <w:vAlign w:val="bottom"/>
          </w:tcPr>
          <w:p>
            <w:pPr>
              <w:jc w:val="right"/>
              <w:spacing w:after="0"/>
              <w:rPr>
                <w:sz w:val="20"/>
                <w:szCs w:val="20"/>
                <w:color w:val="auto"/>
              </w:rPr>
            </w:pPr>
            <w:r>
              <w:rPr>
                <w:rFonts w:ascii="Arial" w:cs="Arial" w:eastAsia="Arial" w:hAnsi="Arial"/>
                <w:sz w:val="14"/>
                <w:szCs w:val="14"/>
                <w:color w:val="auto"/>
              </w:rPr>
              <w:t>Amount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Capital</w:t>
            </w: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40" w:type="dxa"/>
            <w:vAlign w:val="bottom"/>
          </w:tcPr>
          <w:p>
            <w:pPr>
              <w:spacing w:after="0"/>
              <w:rPr>
                <w:sz w:val="17"/>
                <w:szCs w:val="17"/>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31,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109,778,542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3"/>
              </w:rPr>
              <w:t>(209,616)</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1,067,625</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305,394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Stock issuance upon vesting of restricted stock</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439,878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860" w:type="dxa"/>
            <w:vAlign w:val="bottom"/>
          </w:tcPr>
          <w:p>
            <w:pPr>
              <w:ind w:left="360"/>
              <w:spacing w:after="0" w:line="176" w:lineRule="exact"/>
              <w:rPr>
                <w:sz w:val="20"/>
                <w:szCs w:val="20"/>
                <w:color w:val="auto"/>
              </w:rPr>
            </w:pPr>
            <w:r>
              <w:rPr>
                <w:rFonts w:ascii="Arial" w:cs="Arial" w:eastAsia="Arial" w:hAnsi="Arial"/>
                <w:sz w:val="18"/>
                <w:szCs w:val="18"/>
                <w:color w:val="auto"/>
              </w:rPr>
              <w:t>Stock issuance under the employee stock</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purchase plan</w:t>
            </w:r>
          </w:p>
        </w:tc>
        <w:tc>
          <w:tcPr>
            <w:tcW w:w="1160" w:type="dxa"/>
            <w:vAlign w:val="bottom"/>
          </w:tcPr>
          <w:p>
            <w:pPr>
              <w:jc w:val="right"/>
              <w:spacing w:after="0"/>
              <w:rPr>
                <w:sz w:val="20"/>
                <w:szCs w:val="20"/>
                <w:color w:val="auto"/>
              </w:rPr>
            </w:pPr>
            <w:r>
              <w:rPr>
                <w:rFonts w:ascii="Arial" w:cs="Arial" w:eastAsia="Arial" w:hAnsi="Arial"/>
                <w:sz w:val="18"/>
                <w:szCs w:val="18"/>
                <w:color w:val="auto"/>
              </w:rPr>
              <w:t>92,236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520" w:hanging="161"/>
        <w:spacing w:after="0" w:line="247" w:lineRule="auto"/>
        <w:rPr>
          <w:sz w:val="20"/>
          <w:szCs w:val="20"/>
          <w:color w:val="auto"/>
        </w:rPr>
      </w:pPr>
      <w:r>
        <w:rPr>
          <w:rFonts w:ascii="Arial" w:cs="Arial" w:eastAsia="Arial" w:hAnsi="Arial"/>
          <w:sz w:val="16"/>
          <w:szCs w:val="16"/>
          <w:color w:val="auto"/>
        </w:rPr>
        <w:t>Net loss attributable to nCino, Inc., including adjustment to redeemable non-controlling</w:t>
      </w:r>
    </w:p>
    <w:p>
      <w:pPr>
        <w:ind w:left="520"/>
        <w:spacing w:after="0"/>
        <w:rPr>
          <w:sz w:val="20"/>
          <w:szCs w:val="20"/>
          <w:color w:val="auto"/>
        </w:rPr>
      </w:pPr>
      <w:r>
        <w:rPr>
          <w:rFonts w:ascii="Arial" w:cs="Arial" w:eastAsia="Arial" w:hAnsi="Arial"/>
          <w:sz w:val="18"/>
          <w:szCs w:val="18"/>
          <w:color w:val="auto"/>
        </w:rPr>
        <w:t>interest</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July 31, 2022</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(56,776)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110,616,050</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1,306,339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(266,392)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1,041,221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July 31, 2023</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00" w:type="dxa"/>
            <w:vAlign w:val="bottom"/>
            <w:gridSpan w:val="3"/>
            <w:vMerge w:val="restart"/>
          </w:tcPr>
          <w:p>
            <w:pPr>
              <w:jc w:val="right"/>
              <w:ind w:right="399"/>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1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color w:val="auto"/>
                <w:w w:val="96"/>
              </w:rPr>
              <w:t>Paid-in</w:t>
            </w:r>
          </w:p>
        </w:tc>
        <w:tc>
          <w:tcPr>
            <w:tcW w:w="1260" w:type="dxa"/>
            <w:vAlign w:val="bottom"/>
            <w:gridSpan w:val="3"/>
            <w:vMerge w:val="restart"/>
          </w:tcPr>
          <w:p>
            <w:pPr>
              <w:jc w:val="center"/>
              <w:ind w:right="160"/>
              <w:spacing w:after="0" w:line="122"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8"/>
                <w:szCs w:val="8"/>
                <w:color w:val="auto"/>
              </w:rPr>
            </w:pPr>
          </w:p>
        </w:tc>
        <w:tc>
          <w:tcPr>
            <w:tcW w:w="110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color w:val="auto"/>
                <w:w w:val="96"/>
              </w:rPr>
              <w:t>Accumulated</w:t>
            </w: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Shares</w:t>
            </w:r>
          </w:p>
        </w:tc>
        <w:tc>
          <w:tcPr>
            <w:tcW w:w="840" w:type="dxa"/>
            <w:vAlign w:val="bottom"/>
          </w:tcPr>
          <w:p>
            <w:pPr>
              <w:jc w:val="right"/>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Income (Loss)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Deficit</w:t>
            </w:r>
          </w:p>
        </w:tc>
        <w:tc>
          <w:tcPr>
            <w:tcW w:w="2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00" w:space="220"/>
            <w:col w:w="7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31,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111,424,132</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1,333,669</w:t>
            </w: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(310,341)</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1,024,078</w:t>
            </w: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340,668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2,208</w:t>
            </w:r>
          </w:p>
        </w:tc>
      </w:tr>
      <w:tr>
        <w:trPr>
          <w:trHeight w:val="175"/>
        </w:trPr>
        <w:tc>
          <w:tcPr>
            <w:tcW w:w="3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776,776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3820" w:type="dxa"/>
            <w:vAlign w:val="bottom"/>
          </w:tcPr>
          <w:p>
            <w:pPr>
              <w:ind w:left="360"/>
              <w:spacing w:after="0" w:line="176" w:lineRule="exact"/>
              <w:rPr>
                <w:sz w:val="20"/>
                <w:szCs w:val="20"/>
                <w:color w:val="auto"/>
              </w:rPr>
            </w:pPr>
            <w:r>
              <w:rPr>
                <w:rFonts w:ascii="Arial" w:cs="Arial" w:eastAsia="Arial" w:hAnsi="Arial"/>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820" w:type="dxa"/>
            <w:vAlign w:val="bottom"/>
          </w:tcPr>
          <w:p>
            <w:pPr>
              <w:ind w:left="360"/>
              <w:spacing w:after="0"/>
              <w:rPr>
                <w:sz w:val="20"/>
                <w:szCs w:val="20"/>
                <w:color w:val="auto"/>
              </w:rPr>
            </w:pPr>
            <w:r>
              <w:rPr>
                <w:rFonts w:ascii="Arial" w:cs="Arial" w:eastAsia="Arial" w:hAnsi="Arial"/>
                <w:sz w:val="18"/>
                <w:szCs w:val="18"/>
                <w:color w:val="auto"/>
              </w:rPr>
              <w:t>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120,084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2,698</w:t>
            </w: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26,134</w:t>
            </w: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175"/>
        </w:trPr>
        <w:tc>
          <w:tcPr>
            <w:tcW w:w="3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8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9"/>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Balance, July 31, 2023</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112,661,660</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1,364,757</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(337,516)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1,028,141</w:t>
            </w:r>
          </w:p>
        </w:tc>
      </w:tr>
      <w:tr>
        <w:trPr>
          <w:trHeight w:val="21"/>
        </w:trPr>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9000"/>
        <w:spacing w:after="0"/>
        <w:rPr>
          <w:sz w:val="20"/>
          <w:szCs w:val="20"/>
          <w:color w:val="auto"/>
        </w:rPr>
      </w:pPr>
      <w:r>
        <w:rPr>
          <w:rFonts w:ascii="Arial" w:cs="Arial" w:eastAsia="Arial" w:hAnsi="Arial"/>
          <w:sz w:val="13"/>
          <w:szCs w:val="13"/>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39370</wp:posOffset>
            </wp:positionV>
            <wp:extent cx="1791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47" w:lineRule="exact"/>
        <w:rPr>
          <w:sz w:val="20"/>
          <w:szCs w:val="20"/>
          <w:color w:val="auto"/>
        </w:rPr>
      </w:pPr>
    </w:p>
    <w:p>
      <w:pPr>
        <w:jc w:val="both"/>
        <w:ind w:left="8960"/>
        <w:spacing w:after="0"/>
        <w:tabs>
          <w:tab w:leader="none" w:pos="104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operating activities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loss attributable to nCino,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360" w:right="2500"/>
        <w:spacing w:after="0" w:line="299" w:lineRule="auto"/>
        <w:rPr>
          <w:sz w:val="20"/>
          <w:szCs w:val="20"/>
          <w:color w:val="auto"/>
        </w:rPr>
      </w:pPr>
      <w:r>
        <w:rPr>
          <w:rFonts w:ascii="Arial" w:cs="Arial" w:eastAsia="Arial" w:hAnsi="Arial"/>
          <w:sz w:val="16"/>
          <w:szCs w:val="16"/>
          <w:color w:val="auto"/>
        </w:rPr>
        <w:t>Net loss and adjustment attributable to redeemable non-controlling interest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Adjustments to reconcile net loss to net cash provided by operating activities:</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Non-cash operating lease costs</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Amortization of costs capitalized to obtain revenue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Amortization of debt issuance costs</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Provision for bad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Net foreign currency losses (gains)</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Loss on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Change in operating assets and liabilities:</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Costs capitalized to obtain revenue contracts</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Accounts payable</w:t>
      </w:r>
    </w:p>
    <w:p>
      <w:pPr>
        <w:spacing w:after="0" w:line="5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Deferred revenue</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Acquisition of assets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Proceeds from borrowings on revolving credit facility</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Payments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Payments of debt issuance costs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Stock issuance under the employee stock purchase plan</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Principal payments on financing obligations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(57,933)</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(27,127)</w:t>
            </w:r>
          </w:p>
        </w:tc>
      </w:tr>
      <w:tr>
        <w:trPr>
          <w:trHeight w:val="219"/>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r>
      <w:tr>
        <w:trPr>
          <w:trHeight w:val="220"/>
        </w:trPr>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(57,427)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(27,723)</w:t>
            </w:r>
          </w:p>
        </w:tc>
      </w:tr>
      <w:tr>
        <w:trPr>
          <w:trHeight w:val="432"/>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16,882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18,297</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2,421</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4,869</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26,146</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459"/>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18,446</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(3,002)</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1,051</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(1,406)</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(9,313)</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13,772</w:t>
            </w:r>
          </w:p>
        </w:tc>
      </w:tr>
      <w:tr>
        <w:trPr>
          <w:trHeight w:val="246"/>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r>
      <w:tr>
        <w:trPr>
          <w:trHeight w:val="210"/>
        </w:trPr>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10,719</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43,267</w:t>
            </w:r>
          </w:p>
        </w:tc>
      </w:tr>
      <w:tr>
        <w:trPr>
          <w:trHeight w:val="463"/>
        </w:trPr>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46"/>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w:t>
            </w:r>
          </w:p>
        </w:tc>
      </w:tr>
      <w:tr>
        <w:trPr>
          <w:trHeight w:val="223"/>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w:t>
            </w:r>
          </w:p>
        </w:tc>
      </w:tr>
    </w:tbl>
    <w:p>
      <w:pPr>
        <w:spacing w:after="0" w:line="260" w:lineRule="exact"/>
        <w:rPr>
          <w:sz w:val="20"/>
          <w:szCs w:val="20"/>
          <w:color w:val="auto"/>
        </w:rPr>
      </w:pPr>
    </w:p>
    <w:p>
      <w:pPr>
        <w:ind w:left="840"/>
        <w:spacing w:after="0"/>
        <w:tabs>
          <w:tab w:leader="none" w:pos="2580" w:val="left"/>
        </w:tabs>
        <w:rPr>
          <w:sz w:val="20"/>
          <w:szCs w:val="20"/>
          <w:color w:val="auto"/>
        </w:rPr>
      </w:pPr>
      <w:r>
        <w:rPr>
          <w:rFonts w:ascii="Arial" w:cs="Arial" w:eastAsia="Arial" w:hAnsi="Arial"/>
          <w:sz w:val="16"/>
          <w:szCs w:val="16"/>
          <w:color w:val="auto"/>
        </w:rPr>
        <w:t>20,000</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780"/>
        <w:spacing w:after="0"/>
        <w:tabs>
          <w:tab w:leader="none" w:pos="2220" w:val="left"/>
        </w:tabs>
        <w:rPr>
          <w:sz w:val="20"/>
          <w:szCs w:val="20"/>
          <w:color w:val="auto"/>
        </w:rPr>
      </w:pPr>
      <w:r>
        <w:rPr>
          <w:rFonts w:ascii="Arial" w:cs="Arial" w:eastAsia="Arial" w:hAnsi="Arial"/>
          <w:sz w:val="15"/>
          <w:szCs w:val="15"/>
          <w:color w:val="auto"/>
        </w:rPr>
        <w:t>(20,000)</w:t>
      </w:r>
      <w:r>
        <w:rPr>
          <w:sz w:val="20"/>
          <w:szCs w:val="20"/>
          <w:color w:val="auto"/>
        </w:rPr>
        <w:tab/>
      </w:r>
      <w:r>
        <w:rPr>
          <w:rFonts w:ascii="Arial" w:cs="Arial" w:eastAsia="Arial" w:hAnsi="Arial"/>
          <w:sz w:val="15"/>
          <w:szCs w:val="15"/>
          <w:color w:val="auto"/>
        </w:rPr>
        <w:t>(30,000)</w:t>
      </w:r>
    </w:p>
    <w:p>
      <w:pPr>
        <w:spacing w:after="0" w:line="71" w:lineRule="exact"/>
        <w:rPr>
          <w:sz w:val="20"/>
          <w:szCs w:val="20"/>
          <w:color w:val="auto"/>
        </w:rPr>
      </w:pPr>
    </w:p>
    <w:p>
      <w:pPr>
        <w:ind w:left="2600" w:hanging="1616"/>
        <w:spacing w:after="0"/>
        <w:tabs>
          <w:tab w:leader="none" w:pos="2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p>
    <w:p>
      <w:pPr>
        <w:spacing w:after="0" w:line="59" w:lineRule="exact"/>
        <w:rPr>
          <w:sz w:val="20"/>
          <w:szCs w:val="20"/>
          <w:color w:val="auto"/>
        </w:rPr>
      </w:pPr>
    </w:p>
    <w:tbl>
      <w:tblPr>
        <w:tblLayout w:type="fixed"/>
        <w:tblInd w:w="940" w:type="dxa"/>
        <w:tblCellMar>
          <w:top w:w="0" w:type="dxa"/>
          <w:left w:w="0" w:type="dxa"/>
          <w:bottom w:w="0" w:type="dxa"/>
          <w:right w:w="0" w:type="dxa"/>
        </w:tblCellMar>
      </w:tblPr>
      <w:tr>
        <w:trPr>
          <w:trHeight w:val="206"/>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1,856</w:t>
            </w:r>
          </w:p>
        </w:tc>
        <w:tc>
          <w:tcPr>
            <w:tcW w:w="920" w:type="dxa"/>
            <w:vAlign w:val="bottom"/>
          </w:tcPr>
          <w:p>
            <w:pPr>
              <w:jc w:val="right"/>
              <w:spacing w:after="0"/>
              <w:rPr>
                <w:sz w:val="20"/>
                <w:szCs w:val="20"/>
                <w:color w:val="auto"/>
              </w:rPr>
            </w:pPr>
            <w:r>
              <w:rPr>
                <w:rFonts w:ascii="Arial" w:cs="Arial" w:eastAsia="Arial" w:hAnsi="Arial"/>
                <w:sz w:val="16"/>
                <w:szCs w:val="16"/>
                <w:color w:val="auto"/>
              </w:rPr>
              <w:t>2,204</w:t>
            </w:r>
          </w:p>
        </w:tc>
      </w:tr>
      <w:tr>
        <w:trPr>
          <w:trHeight w:val="243"/>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84"/>
              </w:rPr>
              <w:t>2,424</w:t>
            </w:r>
          </w:p>
        </w:tc>
        <w:tc>
          <w:tcPr>
            <w:tcW w:w="920" w:type="dxa"/>
            <w:vAlign w:val="bottom"/>
          </w:tcPr>
          <w:p>
            <w:pPr>
              <w:jc w:val="right"/>
              <w:spacing w:after="0"/>
              <w:rPr>
                <w:sz w:val="20"/>
                <w:szCs w:val="20"/>
                <w:color w:val="auto"/>
              </w:rPr>
            </w:pPr>
            <w:r>
              <w:rPr>
                <w:rFonts w:ascii="Arial" w:cs="Arial" w:eastAsia="Arial" w:hAnsi="Arial"/>
                <w:sz w:val="16"/>
                <w:szCs w:val="16"/>
                <w:color w:val="auto"/>
              </w:rPr>
              <w:t>2,698</w:t>
            </w:r>
          </w:p>
        </w:tc>
      </w:tr>
    </w:tbl>
    <w:p>
      <w:pPr>
        <w:spacing w:after="0" w:line="37" w:lineRule="exact"/>
        <w:rPr>
          <w:sz w:val="20"/>
          <w:szCs w:val="20"/>
          <w:color w:val="auto"/>
        </w:rPr>
      </w:pPr>
    </w:p>
    <w:p>
      <w:pPr>
        <w:ind w:left="2440" w:hanging="1456"/>
        <w:spacing w:after="0"/>
        <w:tabs>
          <w:tab w:leader="none" w:pos="2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(564)</w:t>
      </w:r>
    </w:p>
    <w:p>
      <w:pPr>
        <w:spacing w:after="0" w:line="22" w:lineRule="exact"/>
        <w:rPr>
          <w:sz w:val="20"/>
          <w:szCs w:val="20"/>
          <w:color w:val="auto"/>
        </w:rPr>
      </w:pPr>
    </w:p>
    <w:p>
      <w:pPr>
        <w:sectPr>
          <w:pgSz w:w="11900" w:h="16838" w:orient="portrait"/>
          <w:cols w:equalWidth="0" w:num="2">
            <w:col w:w="7700" w:space="720"/>
            <w:col w:w="28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42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(25,662)</w:t>
            </w:r>
          </w:p>
        </w:tc>
      </w:tr>
      <w:tr>
        <w:trPr>
          <w:trHeight w:val="220"/>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foreign currency exchange rate changes on cash, cash equivalents, and restricted cash</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w:t>
            </w:r>
          </w:p>
        </w:tc>
      </w:tr>
      <w:tr>
        <w:trPr>
          <w:trHeight w:val="226"/>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15,951</w:t>
            </w:r>
          </w:p>
        </w:tc>
      </w:tr>
      <w:tr>
        <w:trPr>
          <w:trHeight w:val="240"/>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cash equivalents, and restricted cash, beginning of period</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88,399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87,418</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103,369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Reconciliation of cash, cash equivalents, and restricted cash, end of period:</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86,148</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98,003</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Restricted cash included in prepaid expenses and other current assets</w:t>
            </w:r>
          </w:p>
        </w:tc>
        <w:tc>
          <w:tcPr>
            <w:tcW w:w="4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5,162</w:t>
            </w:r>
          </w:p>
        </w:tc>
      </w:tr>
      <w:tr>
        <w:trPr>
          <w:trHeight w:val="240"/>
        </w:trPr>
        <w:tc>
          <w:tcPr>
            <w:tcW w:w="84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Restricted cash included in other long-term assets</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37"/>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cash, cash equivalents, and restricted cash, end of period</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103,369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Cash paid for taxes, net of refunds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1,906</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paid for interest</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r>
      <w:tr>
        <w:trPr>
          <w:trHeight w:val="23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 of property and equipment, accrued but not paid</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Receivables from exercise of stock options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working capital receivable adjustment</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r>
        <w:rPr>
          <w:rFonts w:ascii="Arial" w:cs="Arial" w:eastAsia="Arial" w:hAnsi="Arial"/>
          <w:sz w:val="16"/>
          <w:szCs w:val="16"/>
          <w:color w:val="auto"/>
        </w:rPr>
        <w:t>.</w:t>
      </w:r>
    </w:p>
    <w:p>
      <w:pPr>
        <w:spacing w:after="0" w:line="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5" w:lineRule="exact"/>
        <w:rPr>
          <w:sz w:val="20"/>
          <w:szCs w:val="20"/>
          <w:color w:val="auto"/>
        </w:rPr>
      </w:pPr>
    </w:p>
    <w:p>
      <w:pPr>
        <w:ind w:right="20" w:firstLine="891"/>
        <w:spacing w:after="0" w:line="258" w:lineRule="auto"/>
        <w:rPr>
          <w:sz w:val="20"/>
          <w:szCs w:val="20"/>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On November 16, 2021, nCino, Inc. (now nCino OpCo, Inc., "nCino OpCo") entered into an Agreement and Plan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 with Penny HoldCo, Inc. (now nCino, Inc., "nCino, Inc."), a 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spacing w:after="0" w:line="183" w:lineRule="exact"/>
        <w:rPr>
          <w:sz w:val="20"/>
          <w:szCs w:val="20"/>
          <w:color w:val="auto"/>
        </w:rPr>
      </w:pPr>
    </w:p>
    <w:p>
      <w:pPr>
        <w:jc w:val="both"/>
        <w:ind w:right="20" w:firstLine="891"/>
        <w:spacing w:after="0" w:line="256" w:lineRule="auto"/>
        <w:rPr>
          <w:sz w:val="20"/>
          <w:szCs w:val="20"/>
          <w:color w:val="auto"/>
        </w:rPr>
      </w:pPr>
      <w:r>
        <w:rPr>
          <w:rFonts w:ascii="Arial" w:cs="Arial" w:eastAsia="Arial" w:hAnsi="Arial"/>
          <w:sz w:val="18"/>
          <w:szCs w:val="18"/>
          <w:b w:val="1"/>
          <w:bCs w:val="1"/>
          <w:color w:val="auto"/>
        </w:rPr>
        <w:t xml:space="preserve">Merger: </w:t>
      </w:r>
      <w:r>
        <w:rPr>
          <w:rFonts w:ascii="Arial" w:cs="Arial" w:eastAsia="Arial" w:hAnsi="Arial"/>
          <w:sz w:val="18"/>
          <w:szCs w:val="18"/>
          <w:color w:val="auto"/>
        </w:rPr>
        <w:t>On January 7, 2022, pursuant to the Merger Agreement, nCino, Inc. and nCino OpCo completed a series of mergers in which nCino,</w:t>
      </w:r>
      <w:r>
        <w:rPr>
          <w:rFonts w:ascii="Arial" w:cs="Arial" w:eastAsia="Arial" w:hAnsi="Arial"/>
          <w:sz w:val="18"/>
          <w:szCs w:val="18"/>
          <w:b w:val="1"/>
          <w:bCs w:val="1"/>
          <w:color w:val="auto"/>
        </w:rPr>
        <w:t xml:space="preserve"> </w:t>
      </w:r>
      <w:r>
        <w:rPr>
          <w:rFonts w:ascii="Arial" w:cs="Arial" w:eastAsia="Arial" w:hAnsi="Arial"/>
          <w:sz w:val="18"/>
          <w:szCs w:val="18"/>
          <w:color w:val="auto"/>
        </w:rPr>
        <w:t>Inc. became the parent of nCino OpCo and 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spacing w:after="0" w:line="187" w:lineRule="exact"/>
        <w:rPr>
          <w:sz w:val="20"/>
          <w:szCs w:val="20"/>
          <w:color w:val="auto"/>
        </w:rPr>
      </w:pPr>
    </w:p>
    <w:p>
      <w:pPr>
        <w:ind w:right="120" w:firstLine="89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The Company is a software-as-a-service ("SaaS") company that provides software applications to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to streamline employee and client interactions. The Company is headquartered in Wilmington, North Carolina and has various locations in the U.S., North America, Europe and Asia Pacific.</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b w:val="1"/>
          <w:bCs w:val="1"/>
          <w:color w:val="auto"/>
        </w:rPr>
        <w:t xml:space="preserve">Principles of Consolidation and Basis of Presentation: </w:t>
      </w:r>
      <w:r>
        <w:rPr>
          <w:rFonts w:ascii="Arial" w:cs="Arial" w:eastAsia="Arial" w:hAnsi="Arial"/>
          <w:sz w:val="17"/>
          <w:szCs w:val="17"/>
          <w:color w:val="auto"/>
        </w:rPr>
        <w:t>The accompanying unaudited condensed consolidated financial statements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2023 filed with the SEC on March 28, 2023. The unaudited condensed consolidated financial statements include accounts of the Company’s wholly-owned subsidiaries, as well as a variable interest entity in which the Company is the primary beneficiary. All intercompany accounts and transactions are eliminated.</w:t>
      </w:r>
    </w:p>
    <w:p>
      <w:pPr>
        <w:spacing w:after="0" w:line="178"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2024 or any future period.</w:t>
      </w:r>
    </w:p>
    <w:p>
      <w:pPr>
        <w:spacing w:after="0" w:line="180" w:lineRule="exact"/>
        <w:rPr>
          <w:sz w:val="20"/>
          <w:szCs w:val="20"/>
          <w:color w:val="auto"/>
        </w:rPr>
      </w:pPr>
    </w:p>
    <w:p>
      <w:pPr>
        <w:ind w:right="180" w:firstLine="891"/>
        <w:spacing w:after="0" w:line="274" w:lineRule="auto"/>
        <w:rPr>
          <w:sz w:val="20"/>
          <w:szCs w:val="20"/>
          <w:color w:val="auto"/>
        </w:rPr>
      </w:pPr>
      <w:r>
        <w:rPr>
          <w:rFonts w:ascii="Arial" w:cs="Arial" w:eastAsia="Arial" w:hAnsi="Arial"/>
          <w:sz w:val="17"/>
          <w:szCs w:val="17"/>
          <w:b w:val="1"/>
          <w:bCs w:val="1"/>
          <w:color w:val="auto"/>
        </w:rPr>
        <w:t xml:space="preserve">Variable Interest Entity: </w:t>
      </w:r>
      <w:r>
        <w:rPr>
          <w:rFonts w:ascii="Arial" w:cs="Arial" w:eastAsia="Arial" w:hAnsi="Arial"/>
          <w:sz w:val="17"/>
          <w:szCs w:val="17"/>
          <w:color w:val="auto"/>
        </w:rPr>
        <w:t>The Company holds an interest in a Japanese company (“nCino K.K.”) that is considered a variable interest entity</w:t>
      </w:r>
      <w:r>
        <w:rPr>
          <w:rFonts w:ascii="Arial" w:cs="Arial" w:eastAsia="Arial" w:hAnsi="Arial"/>
          <w:sz w:val="17"/>
          <w:szCs w:val="17"/>
          <w:b w:val="1"/>
          <w:bCs w:val="1"/>
          <w:color w:val="auto"/>
        </w:rPr>
        <w:t xml:space="preserve"> </w:t>
      </w:r>
      <w:r>
        <w:rPr>
          <w:rFonts w:ascii="Arial" w:cs="Arial" w:eastAsia="Arial" w:hAnsi="Arial"/>
          <w:sz w:val="17"/>
          <w:szCs w:val="17"/>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spacing w:after="0" w:line="184"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b w:val="1"/>
          <w:bCs w:val="1"/>
          <w:color w:val="auto"/>
        </w:rPr>
        <w:t xml:space="preserve">Redeemable Non-Controlling Interest: </w:t>
      </w:r>
      <w:r>
        <w:rPr>
          <w:rFonts w:ascii="Arial" w:cs="Arial" w:eastAsia="Arial" w:hAnsi="Arial"/>
          <w:sz w:val="17"/>
          <w:szCs w:val="17"/>
          <w:color w:val="auto"/>
        </w:rPr>
        <w:t>Redeemable non-controlling interest relates to minority investors of nCino K.K. An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4" w:lineRule="exact"/>
        <w:rPr>
          <w:sz w:val="20"/>
          <w:szCs w:val="20"/>
          <w:color w:val="auto"/>
        </w:rPr>
      </w:pPr>
    </w:p>
    <w:p>
      <w:pPr>
        <w:ind w:right="20" w:firstLine="891"/>
        <w:spacing w:after="0" w:line="254"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unaudited condensed consolidated financial statements in conformity with GAAP requires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120" w:firstLine="891"/>
        <w:spacing w:after="0" w:line="261" w:lineRule="auto"/>
        <w:rPr>
          <w:sz w:val="20"/>
          <w:szCs w:val="20"/>
          <w:color w:val="auto"/>
        </w:rPr>
      </w:pPr>
      <w:r>
        <w:rPr>
          <w:rFonts w:ascii="Arial" w:cs="Arial" w:eastAsia="Arial" w:hAnsi="Arial"/>
          <w:sz w:val="18"/>
          <w:szCs w:val="18"/>
          <w:b w:val="1"/>
          <w:bCs w:val="1"/>
          <w:color w:val="auto"/>
        </w:rPr>
        <w:t xml:space="preserve">Concentration of Credit Risk and Significant Customers: </w:t>
      </w:r>
      <w:r>
        <w:rPr>
          <w:rFonts w:ascii="Arial" w:cs="Arial" w:eastAsia="Arial" w:hAnsi="Arial"/>
          <w:sz w:val="18"/>
          <w:szCs w:val="18"/>
          <w:color w:val="auto"/>
        </w:rPr>
        <w:t>The Company’s financial instruments that are exposed to concentration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cash equivalents, restricted cash and accounts receivable. The Company’s cash and cash equivalents exceeded federally insured limits at January 31, 2023 and July 31, 2023. The Company maintains its cash, cash equivalents and restricted cash with high-credit-quality financial institutions.</w:t>
      </w:r>
    </w:p>
    <w:p>
      <w:pPr>
        <w:spacing w:after="0" w:line="184" w:lineRule="exact"/>
        <w:rPr>
          <w:sz w:val="20"/>
          <w:szCs w:val="20"/>
          <w:color w:val="auto"/>
        </w:rPr>
      </w:pPr>
    </w:p>
    <w:p>
      <w:pPr>
        <w:jc w:val="both"/>
        <w:ind w:right="40" w:firstLine="891"/>
        <w:spacing w:after="0" w:line="263" w:lineRule="auto"/>
        <w:rPr>
          <w:sz w:val="20"/>
          <w:szCs w:val="20"/>
          <w:color w:val="auto"/>
        </w:rPr>
      </w:pPr>
      <w:r>
        <w:rPr>
          <w:rFonts w:ascii="Arial" w:cs="Arial" w:eastAsia="Arial" w:hAnsi="Arial"/>
          <w:sz w:val="18"/>
          <w:szCs w:val="18"/>
          <w:color w:val="auto"/>
        </w:rPr>
        <w:t>As of January 31, 2023, no individual customer represented over 10% of accounts receivable and, as of July 31, 2023, one individual customer represented 10.5% of accounts receivable. For the three and six months ended July 31, 2022 and 2023, no individual customer represented more than 10% of the Company’s total revenues.</w:t>
      </w:r>
    </w:p>
    <w:p>
      <w:pPr>
        <w:spacing w:after="0" w:line="180" w:lineRule="exact"/>
        <w:rPr>
          <w:sz w:val="20"/>
          <w:szCs w:val="20"/>
          <w:color w:val="auto"/>
        </w:rPr>
      </w:pPr>
    </w:p>
    <w:p>
      <w:pPr>
        <w:ind w:right="100" w:firstLine="891"/>
        <w:spacing w:after="0" w:line="281" w:lineRule="auto"/>
        <w:rPr>
          <w:sz w:val="20"/>
          <w:szCs w:val="20"/>
          <w:color w:val="auto"/>
        </w:rPr>
      </w:pPr>
      <w:r>
        <w:rPr>
          <w:rFonts w:ascii="Arial" w:cs="Arial" w:eastAsia="Arial" w:hAnsi="Arial"/>
          <w:sz w:val="17"/>
          <w:szCs w:val="17"/>
          <w:b w:val="1"/>
          <w:bCs w:val="1"/>
          <w:color w:val="auto"/>
        </w:rPr>
        <w:t xml:space="preserve">Restricted Cash: </w:t>
      </w:r>
      <w:r>
        <w:rPr>
          <w:rFonts w:ascii="Arial" w:cs="Arial" w:eastAsia="Arial" w:hAnsi="Arial"/>
          <w:sz w:val="17"/>
          <w:szCs w:val="17"/>
          <w:color w:val="auto"/>
        </w:rPr>
        <w:t>Restricted cash primarily consists of a minimum cash balance the Company maintains with a lender under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facility. The remaining restricted cash consists of deposits held as collateral for the Company's bank guarantees issued in place of security deposits for certain property leases and credit cards. Restricted cash is included in prepaid expenses and other current assets and other long-term assets at January 31, 2023 and July 31, 2023 on the unaudited condensed consolidated balance sheets.</w:t>
      </w:r>
    </w:p>
    <w:p>
      <w:pPr>
        <w:spacing w:after="0" w:line="165" w:lineRule="exact"/>
        <w:rPr>
          <w:sz w:val="20"/>
          <w:szCs w:val="20"/>
          <w:color w:val="auto"/>
        </w:rPr>
      </w:pPr>
    </w:p>
    <w:p>
      <w:pPr>
        <w:ind w:right="80" w:firstLine="891"/>
        <w:spacing w:after="0" w:line="272" w:lineRule="auto"/>
        <w:rPr>
          <w:sz w:val="20"/>
          <w:szCs w:val="20"/>
          <w:color w:val="auto"/>
        </w:rPr>
      </w:pPr>
      <w:r>
        <w:rPr>
          <w:rFonts w:ascii="Arial" w:cs="Arial" w:eastAsia="Arial" w:hAnsi="Arial"/>
          <w:sz w:val="17"/>
          <w:szCs w:val="17"/>
          <w:b w:val="1"/>
          <w:bCs w:val="1"/>
          <w:color w:val="auto"/>
        </w:rPr>
        <w:t xml:space="preserve">Accounts Receivable and Allowances: </w:t>
      </w:r>
      <w:r>
        <w:rPr>
          <w:rFonts w:ascii="Arial" w:cs="Arial" w:eastAsia="Arial" w:hAnsi="Arial"/>
          <w:sz w:val="17"/>
          <w:szCs w:val="17"/>
          <w:color w:val="auto"/>
        </w:rPr>
        <w:t>A receivable is recorded when an unconditional right to invoice and receive payment exists, such that</w:t>
      </w:r>
      <w:r>
        <w:rPr>
          <w:rFonts w:ascii="Arial" w:cs="Arial" w:eastAsia="Arial" w:hAnsi="Arial"/>
          <w:sz w:val="17"/>
          <w:szCs w:val="17"/>
          <w:b w:val="1"/>
          <w:bCs w:val="1"/>
          <w:color w:val="auto"/>
        </w:rPr>
        <w:t xml:space="preserve"> </w:t>
      </w:r>
      <w:r>
        <w:rPr>
          <w:rFonts w:ascii="Arial" w:cs="Arial" w:eastAsia="Arial" w:hAnsi="Arial"/>
          <w:sz w:val="17"/>
          <w:szCs w:val="17"/>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SimpleNexus'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149"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This estimate is analyzed quarterly and adjusted as necessary.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Charged to bad debt expense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other</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adjustments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91"/>
        <w:spacing w:after="0" w:line="256" w:lineRule="auto"/>
        <w:rPr>
          <w:sz w:val="20"/>
          <w:szCs w:val="20"/>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 The Company's investments are non-marketable equity investments without readily determinable fair value and for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the Company's unaudited condensed consolidated statements of operations. The Company assesses the investments whenever events or changes in circumstances indicate that the carrying value of the investments may not be recoverable.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229" w:lineRule="exact"/>
        <w:rPr>
          <w:sz w:val="20"/>
          <w:szCs w:val="20"/>
          <w:color w:val="auto"/>
        </w:rPr>
      </w:pPr>
    </w:p>
    <w:p>
      <w:pPr>
        <w:ind w:right="180" w:firstLine="89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July 31, 2023, the Company controls a majority of the outstanding common stock in nCino K.K.</w:t>
      </w:r>
    </w:p>
    <w:p>
      <w:pPr>
        <w:spacing w:after="0" w:line="171"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$3.2 million at July 31, 2023.</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r>
      <w:tr>
        <w:trPr>
          <w:trHeight w:val="176"/>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3"/>
              </w:rPr>
              <w:t>Net loss attributable to redeemable non-controlling interest (excluding</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adjustment to non-controlling interest)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1</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3,219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nCino K.K. stock options granted in accordance with nCino K.K.'s equity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right="800" w:firstLine="891"/>
        <w:spacing w:after="0" w:line="277"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as of January 31, 2023 and July 31, 2023 because of the relatively short duration of these instruments.</w:t>
      </w:r>
    </w:p>
    <w:p>
      <w:pPr>
        <w:spacing w:after="0" w:line="170" w:lineRule="exact"/>
        <w:rPr>
          <w:sz w:val="20"/>
          <w:szCs w:val="20"/>
          <w:color w:val="auto"/>
        </w:rPr>
      </w:pPr>
    </w:p>
    <w:p>
      <w:pPr>
        <w:ind w:right="380" w:firstLine="891"/>
        <w:spacing w:after="0" w:line="277" w:lineRule="auto"/>
        <w:rPr>
          <w:sz w:val="20"/>
          <w:szCs w:val="20"/>
          <w:color w:val="auto"/>
        </w:rPr>
      </w:pPr>
      <w:r>
        <w:rPr>
          <w:rFonts w:ascii="Arial" w:cs="Arial" w:eastAsia="Arial" w:hAnsi="Arial"/>
          <w:sz w:val="18"/>
          <w:szCs w:val="18"/>
          <w:color w:val="auto"/>
        </w:rPr>
        <w:t>The carrying amount of any outstanding borrowings on the Company's revolving credit facility approximates fair value due to the variable interest rates of the borrowings.</w:t>
      </w:r>
    </w:p>
    <w:p>
      <w:pPr>
        <w:spacing w:after="0" w:line="170"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2023 and July 31, 2023 and indicates the fair value hierarchy of the valuation: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Time deposits (included in other long-term assets)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Fair value measurements on a recurring basis as of January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31, 2023</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445"/>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2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7540"/>
        <w:spacing w:after="0"/>
        <w:rPr>
          <w:sz w:val="20"/>
          <w:szCs w:val="20"/>
          <w:color w:val="auto"/>
        </w:rPr>
      </w:pPr>
      <w:r>
        <w:rPr>
          <w:rFonts w:ascii="Arial" w:cs="Arial" w:eastAsia="Arial" w:hAnsi="Arial"/>
          <w:sz w:val="13"/>
          <w:szCs w:val="13"/>
          <w:b w:val="1"/>
          <w:bCs w:val="1"/>
          <w:color w:val="auto"/>
        </w:rPr>
        <w:t>Fair value measurements on a recurring basis as of July</w:t>
      </w:r>
    </w:p>
    <w:p>
      <w:pPr>
        <w:spacing w:after="0" w:line="15"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59,067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 (included in prepaid expenses and other current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Time deposits (included in other long-term assets)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48"/>
        </w:trPr>
        <w:tc>
          <w:tcPr>
            <w:tcW w:w="7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Non-Recurring Basis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Company's assets measured at fair value on a nonrecurring basis include the investments accounted for under the measurement alternative.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adjustment or impairment recognized for the three and six months ended July 31, 2022 and 2023,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Area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Revenues by geographic region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25"/>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83"/>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189,761</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14,949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41,147</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230,908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Amounts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receivable, less allowance for doubtful accounts, is as follows as of January 31, 2023 and July 31,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As of July 31, 2023</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accounts receivable</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$0.1 million and $0.3 million income tax receivable of as of January 31, 2023 and July 31, 2023,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34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Deferred Revenue and Remaining Performance Obligations</w:t>
      </w:r>
    </w:p>
    <w:p>
      <w:pPr>
        <w:spacing w:after="0" w:line="225" w:lineRule="exact"/>
        <w:rPr>
          <w:sz w:val="20"/>
          <w:szCs w:val="20"/>
          <w:color w:val="auto"/>
        </w:rPr>
      </w:pPr>
    </w:p>
    <w:p>
      <w:pPr>
        <w:ind w:right="40" w:firstLine="891"/>
        <w:spacing w:after="0" w:line="311" w:lineRule="auto"/>
        <w:rPr>
          <w:sz w:val="20"/>
          <w:szCs w:val="20"/>
          <w:color w:val="auto"/>
        </w:rPr>
      </w:pPr>
      <w:r>
        <w:rPr>
          <w:rFonts w:ascii="Arial" w:cs="Arial" w:eastAsia="Arial" w:hAnsi="Arial"/>
          <w:sz w:val="16"/>
          <w:szCs w:val="16"/>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six months ended July 31, 2023, $117.2 million of revenues were recognized out of the deferred revenue balance as of January 31, 2023.</w:t>
      </w:r>
    </w:p>
    <w:p>
      <w:pPr>
        <w:spacing w:after="0" w:line="149"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right="340" w:firstLine="891"/>
        <w:spacing w:after="0" w:line="263" w:lineRule="auto"/>
        <w:rPr>
          <w:sz w:val="20"/>
          <w:szCs w:val="20"/>
          <w:color w:val="auto"/>
        </w:rPr>
      </w:pPr>
      <w:r>
        <w:rPr>
          <w:rFonts w:ascii="Arial" w:cs="Arial" w:eastAsia="Arial" w:hAnsi="Arial"/>
          <w:sz w:val="18"/>
          <w:szCs w:val="18"/>
          <w:color w:val="auto"/>
        </w:rPr>
        <w:t>Remaining performance obligations were $928.6 million as of July 31, 2023. The Company expects to recognize approximately 69% of its remaining performance obligation as revenues in the next 24 months, approximately 28% more in the following 25 to 48 months, and the remainder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13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As of July 31, 2023</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Buildings and land</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56,379</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104,845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105,411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(23,473)</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84,442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81,938</w:t>
            </w:r>
          </w:p>
        </w:tc>
        <w:tc>
          <w:tcPr>
            <w:tcW w:w="0" w:type="dxa"/>
            <w:vAlign w:val="bottom"/>
          </w:tcPr>
          <w:p>
            <w:pPr>
              <w:spacing w:after="0"/>
              <w:rPr>
                <w:sz w:val="1"/>
                <w:szCs w:val="1"/>
                <w:color w:val="auto"/>
              </w:rPr>
            </w:pPr>
          </w:p>
        </w:tc>
      </w:tr>
      <w:tr>
        <w:trPr>
          <w:trHeight w:val="21"/>
        </w:trPr>
        <w:tc>
          <w:tcPr>
            <w:tcW w:w="5240" w:type="dxa"/>
            <w:vAlign w:val="bottom"/>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See Note 12 "Commitments and Contingencies."</w:t>
            </w: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240" w:type="dxa"/>
            <w:vAlign w:val="bottom"/>
          </w:tcPr>
          <w:p>
            <w:pPr>
              <w:ind w:left="900"/>
              <w:spacing w:after="0"/>
              <w:rPr>
                <w:sz w:val="20"/>
                <w:szCs w:val="20"/>
                <w:color w:val="auto"/>
              </w:rPr>
            </w:pPr>
            <w:r>
              <w:rPr>
                <w:rFonts w:ascii="Arial" w:cs="Arial" w:eastAsia="Arial" w:hAnsi="Arial"/>
                <w:sz w:val="18"/>
                <w:szCs w:val="18"/>
                <w:color w:val="auto"/>
                <w:w w:val="91"/>
              </w:rPr>
              <w:t>The Company recognized depreciation expense as follows: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240" w:type="dxa"/>
            <w:vAlign w:val="bottom"/>
          </w:tcPr>
          <w:p>
            <w:pPr>
              <w:spacing w:after="0"/>
              <w:rPr>
                <w:sz w:val="24"/>
                <w:szCs w:val="24"/>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90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1,394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40" w:type="dxa"/>
            <w:vAlign w:val="bottom"/>
          </w:tcPr>
          <w:p>
            <w:pPr>
              <w:spacing w:after="0"/>
              <w:rPr>
                <w:sz w:val="24"/>
                <w:szCs w:val="24"/>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 in the carrying amounts of goodwill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31, 2023</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839,440</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adjustments</w:t>
            </w: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July 31, 2023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839,042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January 31, 2023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7"/>
              </w:rPr>
              <w:t>As of July 31, 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5"/>
              <w:spacing w:after="0" w:line="129"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30"/>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(30,182)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53,327</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(17,751)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73,955</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(52,104)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138,655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for intangible assets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July 31,</w:t>
            </w:r>
          </w:p>
        </w:tc>
      </w:tr>
      <w:tr>
        <w:trPr>
          <w:trHeight w:val="25"/>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r>
      <w:tr>
        <w:trPr>
          <w:trHeight w:val="230"/>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Cost of professional services and other revenues</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2,772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7,028</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7,044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14,149</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260" w:type="dxa"/>
            <w:vAlign w:val="bottom"/>
            <w:gridSpan w:val="8"/>
          </w:tcPr>
          <w:p>
            <w:pPr>
              <w:ind w:left="880"/>
              <w:spacing w:after="0"/>
              <w:rPr>
                <w:sz w:val="20"/>
                <w:szCs w:val="20"/>
                <w:color w:val="auto"/>
              </w:rPr>
            </w:pPr>
            <w:r>
              <w:rPr>
                <w:rFonts w:ascii="Arial" w:cs="Arial" w:eastAsia="Arial" w:hAnsi="Arial"/>
                <w:sz w:val="18"/>
                <w:szCs w:val="18"/>
                <w:color w:val="auto"/>
                <w:w w:val="96"/>
              </w:rPr>
              <w:t>The expected future amortization expense for intangible assets as of July 31, 2023 is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 (remaining)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13,577</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26,916</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26,751</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3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25,544</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w:t>
            </w:r>
          </w:p>
        </w:tc>
      </w:tr>
      <w:tr>
        <w:trPr>
          <w:trHeight w:val="229"/>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At July 31, 2023, the Company committed a total of 35,202,345 shares of common stock for future issuance as follows: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Issued and outstanding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Nonvested issued and outstanding restricted stock units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Possible issuance under stock plans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 option activity for the six months ended July 31, 2023 was as follows:</w:t>
      </w:r>
    </w:p>
    <w:p>
      <w:pPr>
        <w:spacing w:after="0" w:line="396"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Number of</w:t>
      </w:r>
    </w:p>
    <w:p>
      <w:pPr>
        <w:jc w:val="center"/>
        <w:ind w:left="82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1,664,830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5,784,062</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27,753,453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14605</wp:posOffset>
            </wp:positionV>
            <wp:extent cx="908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35,202,345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14605</wp:posOffset>
            </wp:positionV>
            <wp:extent cx="9086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40640</wp:posOffset>
            </wp:positionV>
            <wp:extent cx="9086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Weighted</w:t>
      </w:r>
    </w:p>
    <w:p>
      <w:pPr>
        <w:ind w:left="200"/>
        <w:spacing w:after="0" w:line="221" w:lineRule="auto"/>
        <w:rPr>
          <w:sz w:val="20"/>
          <w:szCs w:val="20"/>
          <w:color w:val="auto"/>
        </w:rPr>
      </w:pPr>
      <w:r>
        <w:rPr>
          <w:rFonts w:ascii="Arial" w:cs="Arial" w:eastAsia="Arial" w:hAnsi="Arial"/>
          <w:sz w:val="14"/>
          <w:szCs w:val="14"/>
          <w:b w:val="1"/>
          <w:bCs w:val="1"/>
          <w:color w:val="auto"/>
        </w:rPr>
        <w:t>Average</w:t>
      </w:r>
    </w:p>
    <w:p>
      <w:pPr>
        <w:spacing w:after="0"/>
        <w:rPr>
          <w:sz w:val="20"/>
          <w:szCs w:val="20"/>
          <w:color w:val="auto"/>
        </w:rPr>
      </w:pPr>
      <w:r>
        <w:rPr>
          <w:rFonts w:ascii="Arial" w:cs="Arial" w:eastAsia="Arial" w:hAnsi="Arial"/>
          <w:sz w:val="14"/>
          <w:szCs w:val="14"/>
          <w:b w:val="1"/>
          <w:bCs w:val="1"/>
          <w:color w:val="auto"/>
        </w:rPr>
        <w:t>Exercise Price</w:t>
      </w:r>
    </w:p>
    <w:p>
      <w:pPr>
        <w:spacing w:after="0" w:line="15" w:lineRule="exact"/>
        <w:rPr>
          <w:sz w:val="20"/>
          <w:szCs w:val="20"/>
          <w:color w:val="auto"/>
        </w:rPr>
      </w:pPr>
    </w:p>
    <w:p>
      <w:pPr>
        <w:sectPr>
          <w:pgSz w:w="11900" w:h="16838" w:orient="portrait"/>
          <w:cols w:equalWidth="0" w:num="2">
            <w:col w:w="9500" w:space="540"/>
            <w:col w:w="120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43"/>
        </w:trPr>
        <w:tc>
          <w:tcPr>
            <w:tcW w:w="8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January 31, 2023</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2,009,323</w:t>
            </w: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(340,668)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6.48</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July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1,664,830</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Exercisable, July 31, 2023</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1,655,080</w:t>
            </w:r>
          </w:p>
        </w:tc>
        <w:tc>
          <w:tcPr>
            <w:tcW w:w="40" w:type="dxa"/>
            <w:vAlign w:val="bottom"/>
            <w:tcBorders>
              <w:bottom w:val="single" w:sz="8" w:color="auto"/>
            </w:tcBorders>
          </w:tcPr>
          <w:p>
            <w:pPr>
              <w:spacing w:after="0"/>
              <w:rPr>
                <w:sz w:val="17"/>
                <w:szCs w:val="17"/>
                <w:color w:val="auto"/>
              </w:rPr>
            </w:pPr>
          </w:p>
        </w:tc>
        <w:tc>
          <w:tcPr>
            <w:tcW w:w="2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Fully vested or expected to vest, July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1,663,855</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ind w:left="900"/>
              <w:spacing w:after="0"/>
              <w:rPr>
                <w:sz w:val="20"/>
                <w:szCs w:val="20"/>
                <w:color w:val="auto"/>
              </w:rPr>
            </w:pPr>
            <w:r>
              <w:rPr>
                <w:rFonts w:ascii="Arial" w:cs="Arial" w:eastAsia="Arial" w:hAnsi="Arial"/>
                <w:sz w:val="18"/>
                <w:szCs w:val="18"/>
                <w:color w:val="auto"/>
              </w:rPr>
              <w:t>RSU activity during the six months ended July 31, 2023 was as follows:</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31, 2023</w:t>
            </w: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3,531,387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3,155,899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(214,751)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July 31,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5,784,062</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As of July 31, 2023, total unrecognized compensation expense related to non-vested RSUs was $162.7 million, adjusted for estimated forfeitures, based on the estimated fair value of the Company’s common stock at the time of grant. That cost is expected to be recognized over a weighted average period of 3.05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The first offering period for the Employee Stock Purchase Plan ("ESPP") began on July 1, 2021 and ended on December 31, 2021. Thereafter, offering periods begin each year on January 1 and July 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firstLine="891"/>
        <w:spacing w:after="0" w:line="277" w:lineRule="auto"/>
        <w:rPr>
          <w:sz w:val="20"/>
          <w:szCs w:val="20"/>
          <w:color w:val="auto"/>
        </w:rPr>
      </w:pPr>
      <w:r>
        <w:rPr>
          <w:rFonts w:ascii="Arial" w:cs="Arial" w:eastAsia="Arial" w:hAnsi="Arial"/>
          <w:sz w:val="18"/>
          <w:szCs w:val="18"/>
          <w:color w:val="auto"/>
        </w:rPr>
        <w:t>The fair value of ESPP shares during the six months ended July 31, 2022 and 2023 was estimated at the date of grant using the Black-Scholes option valuation model based on assumptions as follows for ESPP awards: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3500" w:type="dxa"/>
            <w:vAlign w:val="bottom"/>
            <w:gridSpan w:val="3"/>
          </w:tcPr>
          <w:p>
            <w:pPr>
              <w:ind w:left="920"/>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9"/>
        </w:trPr>
        <w:tc>
          <w:tcPr>
            <w:tcW w:w="77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0.50</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49.65% - 84.59%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61.66% - 61.86%</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0.22% - 2.52%</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4.77% - 5.53%</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Total stock-based compensation expense included in our unaudited condensed consolidated statements of operations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83"/>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4,089</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7,279</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12,671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26,146</w:t>
            </w:r>
          </w:p>
        </w:tc>
      </w:tr>
      <w:tr>
        <w:trPr>
          <w:trHeight w:val="20"/>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The Company leases its facilities and a portion of its equipment under various non-cancellable agreements, which expire at various times through July 2028, some of which include options to extend for up to five years.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components of lease expense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July 31,</w:t>
            </w:r>
          </w:p>
        </w:tc>
        <w:tc>
          <w:tcPr>
            <w:tcW w:w="520" w:type="dxa"/>
            <w:vAlign w:val="bottom"/>
          </w:tcPr>
          <w:p>
            <w:pPr>
              <w:spacing w:after="0"/>
              <w:rPr>
                <w:sz w:val="16"/>
                <w:szCs w:val="16"/>
                <w:color w:val="auto"/>
              </w:rPr>
            </w:pPr>
          </w:p>
        </w:tc>
      </w:tr>
      <w:tr>
        <w:trPr>
          <w:trHeight w:val="25"/>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2,617</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1,404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1,897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2,732</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3,785</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Supplemental cash flow information related to operating leases were as follows:</w:t>
      </w:r>
    </w:p>
    <w:p>
      <w:pPr>
        <w:spacing w:after="0" w:line="25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32385</wp:posOffset>
            </wp:positionV>
            <wp:extent cx="1877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5" w:lineRule="exact"/>
        <w:rPr>
          <w:sz w:val="20"/>
          <w:szCs w:val="20"/>
          <w:color w:val="auto"/>
        </w:rPr>
      </w:pPr>
    </w:p>
    <w:p>
      <w:pPr>
        <w:ind w:left="886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8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Operating right-of-use assets obtained in exchange for operating lease liabilities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295" w:lineRule="exact"/>
        <w:rPr>
          <w:sz w:val="20"/>
          <w:szCs w:val="20"/>
          <w:color w:val="auto"/>
        </w:rPr>
      </w:pPr>
    </w:p>
    <w:p>
      <w:pPr>
        <w:ind w:right="380" w:firstLine="891"/>
        <w:spacing w:after="0" w:line="277" w:lineRule="auto"/>
        <w:rPr>
          <w:sz w:val="20"/>
          <w:szCs w:val="20"/>
          <w:color w:val="auto"/>
        </w:rPr>
      </w:pPr>
      <w:r>
        <w:rPr>
          <w:rFonts w:ascii="Arial" w:cs="Arial" w:eastAsia="Arial" w:hAnsi="Arial"/>
          <w:sz w:val="18"/>
          <w:szCs w:val="18"/>
          <w:color w:val="auto"/>
        </w:rPr>
        <w:t>The weighted-average remaining lease term and weighted-average discount rate for the Company's operating lease liabilities as of July 31, 2023 were 3.32 years and 4.5%,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nCino,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(In thousands, except share and per share amounts and unless otherwise indicated)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Arial" w:cs="Arial" w:eastAsia="Arial" w:hAnsi="Arial"/>
                <w:sz w:val="18"/>
                <w:szCs w:val="18"/>
                <w:color w:val="auto"/>
              </w:rPr>
              <w:t>Future minimum lease payments as of July 31, 2023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3,171</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Revolving Credit Facility</w:t>
      </w:r>
    </w:p>
    <w:p>
      <w:pPr>
        <w:spacing w:after="0" w:line="229" w:lineRule="exact"/>
        <w:rPr>
          <w:sz w:val="20"/>
          <w:szCs w:val="20"/>
          <w:color w:val="auto"/>
        </w:rPr>
      </w:pPr>
    </w:p>
    <w:p>
      <w:pPr>
        <w:ind w:right="20" w:firstLine="891"/>
        <w:spacing w:after="0" w:line="257" w:lineRule="auto"/>
        <w:rPr>
          <w:sz w:val="20"/>
          <w:szCs w:val="20"/>
          <w:color w:val="auto"/>
        </w:rPr>
      </w:pPr>
      <w:r>
        <w:rPr>
          <w:rFonts w:ascii="Arial" w:cs="Arial" w:eastAsia="Arial" w:hAnsi="Arial"/>
          <w:sz w:val="18"/>
          <w:szCs w:val="18"/>
          <w:color w:val="auto"/>
        </w:rPr>
        <w:t>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spacing w:after="0" w:line="188" w:lineRule="exact"/>
        <w:rPr>
          <w:sz w:val="20"/>
          <w:szCs w:val="20"/>
          <w:color w:val="auto"/>
        </w:rPr>
      </w:pPr>
    </w:p>
    <w:p>
      <w:pPr>
        <w:ind w:right="260" w:firstLine="891"/>
        <w:spacing w:after="0" w:line="257" w:lineRule="auto"/>
        <w:rPr>
          <w:sz w:val="20"/>
          <w:szCs w:val="20"/>
          <w:color w:val="auto"/>
        </w:rPr>
      </w:pPr>
      <w:r>
        <w:rPr>
          <w:rFonts w:ascii="Arial" w:cs="Arial" w:eastAsia="Arial" w:hAnsi="Arial"/>
          <w:sz w:val="18"/>
          <w:szCs w:val="18"/>
          <w:color w:val="auto"/>
        </w:rPr>
        <w:t>Borrowings under the Credit Facility bear interest, at the Borrower’s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spacing w:after="0" w:line="188"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Borrowings under the Credit Facility are scheduled to mature on February 11, 2024, and the Company may repay amounts borrowed any time without penalty. Borrowings under the Credit Facility may be reborrowed.</w:t>
      </w:r>
    </w:p>
    <w:p>
      <w:pPr>
        <w:spacing w:after="0" w:line="170" w:lineRule="exact"/>
        <w:rPr>
          <w:sz w:val="20"/>
          <w:szCs w:val="20"/>
          <w:color w:val="auto"/>
        </w:rPr>
      </w:pPr>
    </w:p>
    <w:p>
      <w:pPr>
        <w:ind w:right="20" w:firstLine="891"/>
        <w:spacing w:after="0" w:line="272" w:lineRule="auto"/>
        <w:rPr>
          <w:sz w:val="20"/>
          <w:szCs w:val="20"/>
          <w:color w:val="auto"/>
        </w:rPr>
      </w:pPr>
      <w:r>
        <w:rPr>
          <w:rFonts w:ascii="Arial" w:cs="Arial" w:eastAsia="Arial" w:hAnsi="Arial"/>
          <w:sz w:val="17"/>
          <w:szCs w:val="17"/>
          <w:color w:val="auto"/>
        </w:rPr>
        <w:t>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 which is considered restricted cash and is included in other long-term assets as of January 31, 2023 and prepaid expenses and other current assets as of July 31, 2023 on the Company's unaudited condensed consolidated balance sheets.</w:t>
      </w:r>
    </w:p>
    <w:p>
      <w:pPr>
        <w:spacing w:after="0" w:line="177" w:lineRule="exact"/>
        <w:rPr>
          <w:sz w:val="20"/>
          <w:szCs w:val="20"/>
          <w:color w:val="auto"/>
        </w:rPr>
      </w:pPr>
    </w:p>
    <w:p>
      <w:pPr>
        <w:ind w:right="40" w:firstLine="891"/>
        <w:spacing w:after="0" w:line="279" w:lineRule="auto"/>
        <w:rPr>
          <w:sz w:val="20"/>
          <w:szCs w:val="20"/>
          <w:color w:val="auto"/>
        </w:rPr>
      </w:pPr>
      <w:r>
        <w:rPr>
          <w:rFonts w:ascii="Arial" w:cs="Arial" w:eastAsia="Arial" w:hAnsi="Arial"/>
          <w:sz w:val="17"/>
          <w:szCs w:val="17"/>
          <w:color w:val="auto"/>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71" w:lineRule="exact"/>
        <w:rPr>
          <w:sz w:val="20"/>
          <w:szCs w:val="20"/>
          <w:color w:val="auto"/>
        </w:rPr>
      </w:pPr>
    </w:p>
    <w:p>
      <w:pPr>
        <w:jc w:val="both"/>
        <w:ind w:right="140" w:firstLine="891"/>
        <w:spacing w:after="0" w:line="263" w:lineRule="auto"/>
        <w:rPr>
          <w:sz w:val="20"/>
          <w:szCs w:val="20"/>
          <w:color w:val="auto"/>
        </w:rPr>
      </w:pPr>
      <w:r>
        <w:rPr>
          <w:rFonts w:ascii="Arial" w:cs="Arial" w:eastAsia="Arial" w:hAnsi="Arial"/>
          <w:sz w:val="18"/>
          <w:szCs w:val="18"/>
          <w:color w:val="auto"/>
        </w:rPr>
        <w:t>The Company had $30.0 million and $0.0 million outstanding and no letters of credit issued under the Credit Facility and was in compliance with all covenants as of January 31, 2023 and July 31, 2023, respectively. The available borrowing capacity under the Credit Facility was $50.0 million as of July 31,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520" w:firstLine="891"/>
        <w:spacing w:after="0" w:line="277" w:lineRule="auto"/>
        <w:rPr>
          <w:sz w:val="20"/>
          <w:szCs w:val="20"/>
          <w:color w:val="auto"/>
        </w:rPr>
      </w:pPr>
      <w:r>
        <w:rPr>
          <w:rFonts w:ascii="Arial" w:cs="Arial" w:eastAsia="Arial" w:hAnsi="Arial"/>
          <w:sz w:val="18"/>
          <w:szCs w:val="18"/>
          <w:color w:val="auto"/>
        </w:rPr>
        <w:t>In addition to the operating lease commitments described in Note 10 "Leases", the Company has additional contractual commitments as described further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40" w:firstLine="891"/>
        <w:spacing w:after="0" w:line="277" w:lineRule="auto"/>
        <w:rPr>
          <w:sz w:val="20"/>
          <w:szCs w:val="20"/>
          <w:color w:val="auto"/>
        </w:rPr>
      </w:pPr>
      <w:r>
        <w:rPr>
          <w:rFonts w:ascii="Arial" w:cs="Arial" w:eastAsia="Arial" w:hAnsi="Arial"/>
          <w:sz w:val="18"/>
          <w:szCs w:val="18"/>
          <w:color w:val="auto"/>
        </w:rPr>
        <w:t>The Company’s purchase commitments consist of non-cancellable agreements to purchase goods and services, primarily licenses and hosting services, entered into in the ordinary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The Company entered into a lease agreement for the Company's headquarters in November 2020 in connection with a new lessor acquiring the property. Due to a purchase option contained in that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that lease. The fair value of the leased property and corresponding financing obligation are included in property and equipment, net and financing obligations on the unaudited condensed consolidated balance sheets, respectively.</w:t>
      </w:r>
    </w:p>
    <w:p>
      <w:pPr>
        <w:spacing w:after="0" w:line="192" w:lineRule="exact"/>
        <w:rPr>
          <w:sz w:val="20"/>
          <w:szCs w:val="20"/>
          <w:color w:val="auto"/>
        </w:rPr>
      </w:pPr>
    </w:p>
    <w:p>
      <w:pPr>
        <w:ind w:right="200" w:firstLine="891"/>
        <w:spacing w:after="0" w:line="273" w:lineRule="auto"/>
        <w:rPr>
          <w:sz w:val="20"/>
          <w:szCs w:val="20"/>
          <w:color w:val="auto"/>
        </w:rPr>
      </w:pPr>
      <w:r>
        <w:rPr>
          <w:rFonts w:ascii="Arial" w:cs="Arial" w:eastAsia="Arial" w:hAnsi="Arial"/>
          <w:sz w:val="17"/>
          <w:szCs w:val="17"/>
          <w:color w:val="auto"/>
        </w:rPr>
        <w:t>In January 2021, the Company entered into an amendment to its November 2020 headquarters lease to provide for construction of a parking deck, which upon completion was subject to exclusive use by the Company.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unaudited condensed consolidated balance sheets, respectively.</w:t>
      </w:r>
    </w:p>
    <w:p>
      <w:pPr>
        <w:spacing w:after="0" w:line="178" w:lineRule="exact"/>
        <w:rPr>
          <w:sz w:val="20"/>
          <w:szCs w:val="20"/>
          <w:color w:val="auto"/>
        </w:rPr>
      </w:pPr>
    </w:p>
    <w:p>
      <w:pPr>
        <w:ind w:right="100" w:firstLine="891"/>
        <w:spacing w:after="0" w:line="290" w:lineRule="auto"/>
        <w:rPr>
          <w:sz w:val="20"/>
          <w:szCs w:val="20"/>
          <w:color w:val="auto"/>
        </w:rPr>
      </w:pPr>
      <w:r>
        <w:rPr>
          <w:rFonts w:ascii="Arial" w:cs="Arial" w:eastAsia="Arial" w:hAnsi="Arial"/>
          <w:sz w:val="16"/>
          <w:szCs w:val="16"/>
          <w:color w:val="auto"/>
        </w:rPr>
        <w:t>In April 2021, the Company entered into a new lease agreement for the construction of an additional office building that is on the same parcel of land as the Company's existing headquarters. Due to a purchase option contained in that April 2021 lease, the Company is also deemed to be the owner of the additional building for accounting purposes, the costs associated with the construction of the additional building were capitalized as construction in progress with a corresponding construction liability through construction. Upon completion of the additional building in November 2022, for approximately $22.4 million, the costs of the construction in progress and the corresponding construction liability were reclassified to property and equipment, net and financing obligations on the unaudited condensed consolidated balance sheets, respectively, and the term of the Company's November 2020 lease for its headquarters and the related parking deck became coterminous with the April 2021 lease. The term of the April 2021 lease expires in October 2037 with options to extend. The purchase option expires if not exercised on or before November 30, 2026.</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leases will be analyzed for applicable lease accounting upon expiration of the purchase option, if not exercised.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Purchase commitments and future minimum lease payments required under financing obligations as of July 31, 2023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Ending January 31,</w:t>
            </w: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Purchase</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Financing obligations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2"/>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w w:val="95"/>
              </w:rPr>
              <w:t>- leased facility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 (remaining)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2027</w:t>
            </w:r>
          </w:p>
        </w:tc>
        <w:tc>
          <w:tcPr>
            <w:tcW w:w="6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49,476</w:t>
            </w: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20" w:firstLine="891"/>
        <w:spacing w:after="0" w:line="277" w:lineRule="auto"/>
        <w:rPr>
          <w:sz w:val="20"/>
          <w:szCs w:val="20"/>
          <w:color w:val="auto"/>
        </w:rPr>
      </w:pPr>
      <w:r>
        <w:rPr>
          <w:rFonts w:ascii="Arial" w:cs="Arial" w:eastAsia="Arial" w:hAnsi="Arial"/>
          <w:sz w:val="18"/>
          <w:szCs w:val="18"/>
          <w:color w:val="auto"/>
        </w:rPr>
        <w:t>A portion of the associated lease payments are recognized as interest expense and the remainder reduces the financing obligations. The weighted-average discount rate for the Company's financing obligations as of July 31, 2023 was 5.7%.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20" w:firstLine="891"/>
        <w:spacing w:after="0" w:line="273" w:lineRule="auto"/>
        <w:rPr>
          <w:sz w:val="20"/>
          <w:szCs w:val="20"/>
          <w:color w:val="auto"/>
        </w:rPr>
      </w:pPr>
      <w:r>
        <w:rPr>
          <w:rFonts w:ascii="Arial" w:cs="Arial" w:eastAsia="Arial" w:hAnsi="Arial"/>
          <w:sz w:val="17"/>
          <w:szCs w:val="17"/>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From time to time, the Company is involved in legal proceedings or is subject to claims arising in the ordinary course of business including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right="60" w:firstLine="891"/>
        <w:spacing w:after="0" w:line="275" w:lineRule="auto"/>
        <w:rPr>
          <w:sz w:val="20"/>
          <w:szCs w:val="20"/>
          <w:color w:val="auto"/>
        </w:rPr>
      </w:pPr>
      <w:r>
        <w:rPr>
          <w:rFonts w:ascii="Arial" w:cs="Arial" w:eastAsia="Arial" w:hAnsi="Arial"/>
          <w:sz w:val="17"/>
          <w:szCs w:val="17"/>
          <w:color w:val="auto"/>
        </w:rPr>
        <w:t>On February 23, 2021, the Company and certain of its officers and other employees were served with grand jury subpoenas wherein the Antitrust Division of the Department of Justice (the "DOJ") was seeking documents and information in connection with an investigation of the Company’s hiring and wage practices under U.S. federal antitrust laws. On February 8, 2023, the DOJ informed the Company that the investigation is closed. No fines, sanctions, actions, or penalties were imposed or taken against the Company or its officers or other employees in connection with the matter, and the costs the Company was incurring cooperating with the investigation have now ceased.</w:t>
      </w:r>
    </w:p>
    <w:p>
      <w:pPr>
        <w:spacing w:after="0" w:line="176" w:lineRule="exact"/>
        <w:rPr>
          <w:sz w:val="20"/>
          <w:szCs w:val="20"/>
          <w:color w:val="auto"/>
        </w:rPr>
      </w:pPr>
    </w:p>
    <w:p>
      <w:pPr>
        <w:ind w:firstLine="891"/>
        <w:spacing w:after="0" w:line="288" w:lineRule="auto"/>
        <w:rPr>
          <w:sz w:val="20"/>
          <w:szCs w:val="20"/>
          <w:color w:val="auto"/>
        </w:rPr>
      </w:pPr>
      <w:r>
        <w:rPr>
          <w:rFonts w:ascii="Arial" w:cs="Arial" w:eastAsia="Arial" w:hAnsi="Arial"/>
          <w:sz w:val="16"/>
          <w:szCs w:val="16"/>
          <w:color w:val="auto"/>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 the Company, Live Oak Bancshares, Inc. ("Live Oak") and Apiture, Inc. ("Apiture")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In July 2023, through mediation, the Company and the plaintiff reached a settlement agreement in principle of approximately $2.2 million that remains subject to court approval. While the Company strongly believes that it would prevail on the merits and that it has not violated the antitrust laws, in order to avoid the distraction and expense of protracted litigation and instead continue to focus on its employees and customers, the Company agreed to settle this matter. The Company has accrued for the proposed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settlement agreement which is included in accrued expenses and other current liabilities as of July 31, 2023 on the Company's unaudited condensed consolidated balance sheets.</w:t>
      </w:r>
    </w:p>
    <w:p>
      <w:pPr>
        <w:spacing w:after="0" w:line="170" w:lineRule="exact"/>
        <w:rPr>
          <w:sz w:val="20"/>
          <w:szCs w:val="20"/>
          <w:color w:val="auto"/>
        </w:rPr>
      </w:pPr>
    </w:p>
    <w:p>
      <w:pPr>
        <w:ind w:firstLine="891"/>
        <w:spacing w:after="0" w:line="269" w:lineRule="auto"/>
        <w:rPr>
          <w:sz w:val="20"/>
          <w:szCs w:val="20"/>
          <w:color w:val="auto"/>
        </w:rPr>
      </w:pPr>
      <w:r>
        <w:rPr>
          <w:rFonts w:ascii="Arial" w:cs="Arial" w:eastAsia="Arial" w:hAnsi="Arial"/>
          <w:sz w:val="17"/>
          <w:szCs w:val="17"/>
          <w:color w:val="auto"/>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 Given the uncertainty and preliminary stages of this matter, the Company is unable to reasonably estimate any possible loss or range of loss that may result. Therefore, the Company has not made an accrual for the above matter in the unaudited condensed consolidated financial statements.</w:t>
      </w:r>
    </w:p>
    <w:p>
      <w:pPr>
        <w:spacing w:after="0" w:line="182" w:lineRule="exact"/>
        <w:rPr>
          <w:sz w:val="20"/>
          <w:szCs w:val="20"/>
          <w:color w:val="auto"/>
        </w:rPr>
      </w:pPr>
    </w:p>
    <w:p>
      <w:pPr>
        <w:jc w:val="both"/>
        <w:ind w:right="20" w:firstLine="891"/>
        <w:spacing w:after="0" w:line="286" w:lineRule="auto"/>
        <w:rPr>
          <w:sz w:val="20"/>
          <w:szCs w:val="20"/>
          <w:color w:val="auto"/>
        </w:rPr>
      </w:pPr>
      <w:r>
        <w:rPr>
          <w:rFonts w:ascii="Arial" w:cs="Arial" w:eastAsia="Arial" w:hAnsi="Arial"/>
          <w:sz w:val="17"/>
          <w:szCs w:val="17"/>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25" w:lineRule="exact"/>
        <w:rPr>
          <w:sz w:val="20"/>
          <w:szCs w:val="20"/>
          <w:color w:val="auto"/>
        </w:rPr>
      </w:pPr>
    </w:p>
    <w:p>
      <w:pPr>
        <w:jc w:val="both"/>
        <w:ind w:right="360" w:firstLine="891"/>
        <w:spacing w:after="0" w:line="263" w:lineRule="auto"/>
        <w:rPr>
          <w:sz w:val="20"/>
          <w:szCs w:val="20"/>
          <w:color w:val="auto"/>
        </w:rPr>
      </w:pPr>
      <w:r>
        <w:rPr>
          <w:rFonts w:ascii="Arial" w:cs="Arial" w:eastAsia="Arial" w:hAnsi="Arial"/>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Related-Party Transactions</w:t>
      </w:r>
    </w:p>
    <w:p>
      <w:pPr>
        <w:spacing w:after="0" w:line="229" w:lineRule="exact"/>
        <w:rPr>
          <w:sz w:val="20"/>
          <w:szCs w:val="20"/>
          <w:color w:val="auto"/>
        </w:rPr>
      </w:pPr>
    </w:p>
    <w:p>
      <w:pPr>
        <w:ind w:firstLine="891"/>
        <w:spacing w:after="0" w:line="296" w:lineRule="auto"/>
        <w:rPr>
          <w:sz w:val="20"/>
          <w:szCs w:val="20"/>
          <w:color w:val="auto"/>
        </w:rPr>
      </w:pPr>
      <w:r>
        <w:rPr>
          <w:rFonts w:ascii="Arial" w:cs="Arial" w:eastAsia="Arial" w:hAnsi="Arial"/>
          <w:sz w:val="16"/>
          <w:szCs w:val="16"/>
          <w:color w:val="auto"/>
        </w:rPr>
        <w:t>On November 1, 2022, the Company's wholly-owned subsidiary, nCino OpCo, acquired preferred shares of ZestFinance, Inc. (d/b/a ZEST AI) ("Zest AI"), a private company, for $2.5 million and is included in investments as of January 31, 2023 and July 31, 2023 on the Company's unaudited condensed consolidated balance sheets. The investment is considered a related party transaction as entities affiliated with Insight Partners, a beneficial owner of the Company, own greater than ten percent of Zest AI. On May 23, 2023, the Company announced a strategic partnership with Zest AI to build an integration into the Company's consumer banking solution to enable lenders with streamlined access to consumer credit lending insights.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Basic and Diluted Loss per Share</w:t>
      </w:r>
    </w:p>
    <w:p>
      <w:pPr>
        <w:spacing w:after="0" w:line="229" w:lineRule="exact"/>
        <w:rPr>
          <w:sz w:val="20"/>
          <w:szCs w:val="20"/>
          <w:color w:val="auto"/>
        </w:rPr>
      </w:pPr>
    </w:p>
    <w:p>
      <w:pPr>
        <w:ind w:right="100" w:firstLine="891"/>
        <w:spacing w:after="0" w:line="255"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July 31, 2022 and 2023 and for the six months ended July 31, 2022 and 2023 is the same as the basic loss per share as there was a net loss for those periods, and inclusion of potentially issuable shares was anti-dilutive.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6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110,391,865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112,396,716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110,198,509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112,262,527</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Basic and diluted loss per share attributable to nCino,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(0.24)</w:t>
            </w:r>
          </w:p>
        </w:tc>
      </w:tr>
    </w:tbl>
    <w:p>
      <w:pPr>
        <w:spacing w:after="0" w:line="295" w:lineRule="exact"/>
        <w:rPr>
          <w:sz w:val="20"/>
          <w:szCs w:val="20"/>
          <w:color w:val="auto"/>
        </w:rPr>
      </w:pPr>
    </w:p>
    <w:p>
      <w:pPr>
        <w:ind w:right="180" w:firstLine="891"/>
        <w:spacing w:after="0" w:line="277" w:lineRule="auto"/>
        <w:rPr>
          <w:sz w:val="20"/>
          <w:szCs w:val="20"/>
          <w:color w:val="auto"/>
        </w:rPr>
      </w:pPr>
      <w:r>
        <w:rPr>
          <w:rFonts w:ascii="Arial" w:cs="Arial" w:eastAsia="Arial" w:hAnsi="Arial"/>
          <w:sz w:val="18"/>
          <w:szCs w:val="18"/>
          <w:color w:val="auto"/>
        </w:rPr>
        <w:t>The following potential outstanding common stock were excluded from the diluted loss per share computation because the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96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8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2,308,091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1,664,830</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Nonvested RSUs issued and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3,865,041</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5,784,062</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pursuant to the ESPP</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w:t>
      </w:r>
    </w:p>
    <w:p>
      <w:pPr>
        <w:spacing w:after="0" w:line="229" w:lineRule="exact"/>
        <w:rPr>
          <w:sz w:val="20"/>
          <w:szCs w:val="20"/>
          <w:color w:val="auto"/>
        </w:rPr>
      </w:pPr>
    </w:p>
    <w:p>
      <w:pPr>
        <w:jc w:val="both"/>
        <w:ind w:right="20" w:firstLine="891"/>
        <w:spacing w:after="0" w:line="263" w:lineRule="auto"/>
        <w:rPr>
          <w:sz w:val="20"/>
          <w:szCs w:val="20"/>
          <w:color w:val="auto"/>
        </w:rPr>
      </w:pPr>
      <w:r>
        <w:rPr>
          <w:rFonts w:ascii="Arial" w:cs="Arial" w:eastAsia="Arial" w:hAnsi="Arial"/>
          <w:sz w:val="18"/>
          <w:szCs w:val="18"/>
          <w:color w:val="auto"/>
        </w:rPr>
        <w:t>In the fourth quarter of fiscal 2023, the Company announced a workforce reduction of approximately 7% and office space reductions in certain markets (collectively, the “restructuring plan”) in furtherance of its efforts to improve operating margins and advance the Company’s objective of profitable growth.</w:t>
      </w:r>
    </w:p>
    <w:p>
      <w:pPr>
        <w:spacing w:after="0" w:line="184" w:lineRule="exact"/>
        <w:rPr>
          <w:sz w:val="20"/>
          <w:szCs w:val="20"/>
          <w:color w:val="auto"/>
        </w:rPr>
      </w:pPr>
    </w:p>
    <w:p>
      <w:pPr>
        <w:jc w:val="both"/>
        <w:ind w:right="20" w:firstLine="891"/>
        <w:spacing w:after="0" w:line="308" w:lineRule="auto"/>
        <w:rPr>
          <w:sz w:val="20"/>
          <w:szCs w:val="20"/>
          <w:color w:val="auto"/>
        </w:rPr>
      </w:pPr>
      <w:r>
        <w:rPr>
          <w:rFonts w:ascii="Arial" w:cs="Arial" w:eastAsia="Arial" w:hAnsi="Arial"/>
          <w:sz w:val="17"/>
          <w:szCs w:val="17"/>
          <w:color w:val="auto"/>
        </w:rPr>
        <w:t>Lease termination costs were accounted for in accordance with ASC 842, Leases. The Company paid $0.8 million in the fourth quarter of fiscal 2023 to exercise an early termination clause to exit a facility during fiscal 2024, which was accounted for as a lease modification.</w:t>
      </w:r>
    </w:p>
    <w:p>
      <w:pPr>
        <w:spacing w:after="0" w:line="146" w:lineRule="exact"/>
        <w:rPr>
          <w:sz w:val="20"/>
          <w:szCs w:val="20"/>
          <w:color w:val="auto"/>
        </w:rPr>
      </w:pPr>
    </w:p>
    <w:p>
      <w:pPr>
        <w:jc w:val="both"/>
        <w:ind w:right="220" w:firstLine="891"/>
        <w:spacing w:after="0" w:line="311" w:lineRule="auto"/>
        <w:rPr>
          <w:sz w:val="20"/>
          <w:szCs w:val="20"/>
          <w:color w:val="auto"/>
        </w:rPr>
      </w:pPr>
      <w:r>
        <w:rPr>
          <w:rFonts w:ascii="Arial" w:cs="Arial" w:eastAsia="Arial" w:hAnsi="Arial"/>
          <w:sz w:val="16"/>
          <w:szCs w:val="16"/>
          <w:color w:val="auto"/>
        </w:rPr>
        <w:t>The Company incurred charges in the in the fourth quarter of the Company’s fiscal 2023 of $4.8 million in connection with the restructuring plan. The accrual for severance and related benefit costs of $5.0 million for terminated employees was included in accrued compensation and benefits on the consolidated balance sheets as of January 31, 2023 and was paid in the first quarter of the Company’s fiscal 2024.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Company’s restructuring charges for the three and six months ended July 31, 2023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30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8280" w:type="dxa"/>
            <w:vAlign w:val="bottom"/>
          </w:tcPr>
          <w:p>
            <w:pPr>
              <w:spacing w:after="0"/>
              <w:rPr>
                <w:sz w:val="16"/>
                <w:szCs w:val="16"/>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July 31, 2023</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July 31, 2023</w:t>
            </w:r>
          </w:p>
        </w:tc>
      </w:tr>
      <w:tr>
        <w:trPr>
          <w:trHeight w:val="202"/>
        </w:trPr>
        <w:tc>
          <w:tcPr>
            <w:tcW w:w="8280" w:type="dxa"/>
            <w:vAlign w:val="bottom"/>
            <w:tcBorders>
              <w:bottom w:val="single" w:sz="8" w:color="CCEEFF"/>
            </w:tcBorders>
          </w:tcPr>
          <w:p>
            <w:pPr>
              <w:spacing w:after="0"/>
              <w:rPr>
                <w:sz w:val="17"/>
                <w:szCs w:val="17"/>
                <w:color w:val="auto"/>
              </w:rPr>
            </w:pPr>
          </w:p>
        </w:tc>
        <w:tc>
          <w:tcPr>
            <w:tcW w:w="2960" w:type="dxa"/>
            <w:vAlign w:val="bottom"/>
            <w:tcBorders>
              <w:bottom w:val="single" w:sz="8" w:color="auto"/>
            </w:tcBorders>
            <w:gridSpan w:val="4"/>
          </w:tcPr>
          <w:p>
            <w:pPr>
              <w:jc w:val="right"/>
              <w:ind w:right="935"/>
              <w:spacing w:after="0" w:line="202" w:lineRule="exact"/>
              <w:rPr>
                <w:sz w:val="20"/>
                <w:szCs w:val="20"/>
                <w:color w:val="auto"/>
              </w:rPr>
            </w:pPr>
            <w:r>
              <w:rPr>
                <w:rFonts w:ascii="Arial" w:cs="Arial" w:eastAsia="Arial" w:hAnsi="Arial"/>
                <w:sz w:val="14"/>
                <w:szCs w:val="14"/>
                <w:b w:val="1"/>
                <w:bCs w:val="1"/>
                <w:color w:val="auto"/>
              </w:rPr>
              <w:t>Lease exit fees</w:t>
            </w:r>
            <w:r>
              <w:rPr>
                <w:rFonts w:ascii="Arial" w:cs="Arial" w:eastAsia="Arial" w:hAnsi="Arial"/>
                <w:sz w:val="18"/>
                <w:szCs w:val="18"/>
                <w:b w:val="1"/>
                <w:bCs w:val="1"/>
                <w:color w:val="auto"/>
                <w:vertAlign w:val="superscript"/>
              </w:rPr>
              <w:t>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1"/>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ind w:right="2820"/>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5"/>
          <w:szCs w:val="15"/>
          <w:color w:val="auto"/>
        </w:rPr>
        <w:t>These expenses reduced operating lease right-of-use assets on the unaudited condensed consolidated balance sheets.</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had no restructuring charges for the three and six months ended July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891"/>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2023 filed with the SEC on March 28, 2023</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2024" refer to the fiscal year ended January 31, 2024.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891"/>
        <w:spacing w:after="0" w:line="257" w:lineRule="auto"/>
        <w:rPr>
          <w:sz w:val="20"/>
          <w:szCs w:val="20"/>
          <w:color w:val="auto"/>
        </w:rPr>
      </w:pPr>
      <w:r>
        <w:rPr>
          <w:rFonts w:ascii="Arial" w:cs="Arial" w:eastAsia="Arial" w:hAnsi="Arial"/>
          <w:sz w:val="18"/>
          <w:szCs w:val="18"/>
          <w:color w:val="auto"/>
        </w:rPr>
        <w:t>nCino is the pioneer in cloud banking. Built by bankers for bankers, the nCino Bank Operating System is a single, multi-tenant software-as-a-service (SaaS) solution that helps financial institutions ("FI") modernize, innovate and outperform. A leader in the global financial services technology industry, nCino is a proven partner that has helped more than 1,850 FIs of all sizes and complexities, including global, enterprise, regional and community banks; credit unions; new market entrants; and independent mortgage banks power distinctive experiences, drive growth efficiencies, and run with full integrity. With nCino, FIs can:</w:t>
      </w:r>
    </w:p>
    <w:p>
      <w:pPr>
        <w:spacing w:after="0" w:line="188"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digitally serve their clients across lines of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elevate employee experience and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an active data, audit, and business intelligence hub.</w:t>
      </w:r>
    </w:p>
    <w:p>
      <w:pPr>
        <w:spacing w:after="0" w:line="225" w:lineRule="exact"/>
        <w:rPr>
          <w:sz w:val="20"/>
          <w:szCs w:val="20"/>
          <w:color w:val="auto"/>
        </w:rPr>
      </w:pPr>
    </w:p>
    <w:p>
      <w:pPr>
        <w:ind w:right="60" w:firstLine="891"/>
        <w:spacing w:after="0" w:line="296" w:lineRule="auto"/>
        <w:rPr>
          <w:sz w:val="20"/>
          <w:szCs w:val="20"/>
          <w:color w:val="auto"/>
        </w:rPr>
      </w:pPr>
      <w:r>
        <w:rPr>
          <w:rFonts w:ascii="Arial" w:cs="Arial" w:eastAsia="Arial" w:hAnsi="Arial"/>
          <w:sz w:val="16"/>
          <w:szCs w:val="16"/>
          <w:color w:val="auto"/>
        </w:rPr>
        <w:t>nCino was originally founded in a bank to improve that FI’s operations and client service. After realizing that virtually all FIs were dealing with the same problems—cumbersome legacy technology, fragmented data, disconnected business functions, and a disengaged workforce made it difficult to maintain relevancy in their clients’ lives—we were spun out as a separate company in late 2011. This heritage is the foundation of our deep banking domain expertise, which differentiates us, continues to drive our strategy and makes us uniquely qualified to help FIs cross the modernization divide by providing a comprehensive solution that onboards clients, originates loans, and opens accounts on a single, cloud-based platform.</w:t>
      </w:r>
    </w:p>
    <w:p>
      <w:pPr>
        <w:spacing w:after="0" w:line="161"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color w:val="auto"/>
        </w:rPr>
        <w:t>We initially focused the nCino Bank Operating System on transforming commercial and small business lending for community and regional banks in the United States ("U.S."). We introduced this solution to enterprise banks in the U.S. in 2014, and then internationally in 2017, and have subsequently expanded across North America, Europe, and Asia-Pacific ("APAC"). Throughout this market expansion, we broadened the nCino Bank Operating System by adding functionality for consumer lending, client onboarding, deposit account opening, analytics and AI/ML. In fiscal 2020, we acquired nCino Portfolio Analytics, LLC (formerly Visible Equity) and FinSuite as part of our strategy to build out our nIQ capabilities, and we established our nCino K.K joint venture to facilitate our entry into the Japanese market. Additionally, in January 2022, we acquired SimpleNexus, which expanded our capabilities to the U.S. point-of-sale mortgage market.</w:t>
      </w:r>
    </w:p>
    <w:p>
      <w:pPr>
        <w:spacing w:after="0" w:line="195" w:lineRule="exact"/>
        <w:rPr>
          <w:sz w:val="20"/>
          <w:szCs w:val="20"/>
          <w:color w:val="auto"/>
        </w:rPr>
      </w:pPr>
    </w:p>
    <w:p>
      <w:pPr>
        <w:ind w:right="40" w:firstLine="891"/>
        <w:spacing w:after="0" w:line="301" w:lineRule="auto"/>
        <w:rPr>
          <w:sz w:val="20"/>
          <w:szCs w:val="20"/>
          <w:color w:val="auto"/>
        </w:rPr>
      </w:pPr>
      <w:r>
        <w:rPr>
          <w:rFonts w:ascii="Arial" w:cs="Arial" w:eastAsia="Arial" w:hAnsi="Arial"/>
          <w:sz w:val="16"/>
          <w:szCs w:val="16"/>
          <w:color w:val="auto"/>
        </w:rPr>
        <w:t>We generally offer our solutions on a SaaS basis under multi-year contracts and recognize subscription revenues ratably over the term of the contract. Our customers may initially purchase one of our solutions for implementing a client onboarding, loan origination, and/or deposit account opening in a specific line of business within the FI, such as commercial, small business, consumer, or mortgage. The nCino Bank Operating System is designed to scale with our customers, and once our solution is deployed, we seek to have our customers expand adoption within and across lines of business.</w:t>
      </w:r>
    </w:p>
    <w:p>
      <w:pPr>
        <w:spacing w:after="0" w:line="157" w:lineRule="exact"/>
        <w:rPr>
          <w:sz w:val="20"/>
          <w:szCs w:val="20"/>
          <w:color w:val="auto"/>
        </w:rPr>
      </w:pPr>
    </w:p>
    <w:p>
      <w:pPr>
        <w:ind w:right="300" w:firstLine="891"/>
        <w:spacing w:after="0" w:line="277" w:lineRule="auto"/>
        <w:rPr>
          <w:sz w:val="20"/>
          <w:szCs w:val="20"/>
          <w:color w:val="auto"/>
        </w:rPr>
      </w:pPr>
      <w:r>
        <w:rPr>
          <w:rFonts w:ascii="Arial" w:cs="Arial" w:eastAsia="Arial" w:hAnsi="Arial"/>
          <w:sz w:val="18"/>
          <w:szCs w:val="18"/>
          <w:color w:val="auto"/>
        </w:rPr>
        <w:t>We sell our solutions directly through our business development managers, account executives, field sales engineers, and customer success managers. Our sales efforts in the U.S. are organized around FIs based on size, whereas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internationally, we focus our sales efforts by geography. As of July 31, 2023, we had 239 sales and sales support personnel in the U.S. and 71 sales and support personnel in offices outside the U.S.</w:t>
      </w:r>
    </w:p>
    <w:p>
      <w:pPr>
        <w:spacing w:after="0" w:line="170"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Bank Operating System. For regional bank FIs, we work with SIs such as West Monroe Partners, and for community banks, we work with SIs or perform configuration and implementation ourselves. We expect enterprise FIs to make up a greater proportion of our nCino Bank Operating System sales.</w:t>
      </w:r>
    </w:p>
    <w:p>
      <w:pPr>
        <w:spacing w:after="0" w:line="188" w:lineRule="exact"/>
        <w:rPr>
          <w:sz w:val="20"/>
          <w:szCs w:val="20"/>
          <w:color w:val="auto"/>
        </w:rPr>
      </w:pPr>
    </w:p>
    <w:p>
      <w:pPr>
        <w:ind w:right="40" w:firstLine="891"/>
        <w:spacing w:after="0" w:line="272" w:lineRule="auto"/>
        <w:rPr>
          <w:sz w:val="20"/>
          <w:szCs w:val="20"/>
          <w:color w:val="auto"/>
        </w:rPr>
      </w:pPr>
      <w:r>
        <w:rPr>
          <w:rFonts w:ascii="Arial" w:cs="Arial" w:eastAsia="Arial" w:hAnsi="Arial"/>
          <w:sz w:val="17"/>
          <w:szCs w:val="17"/>
          <w:color w:val="auto"/>
        </w:rPr>
        <w:t>For the three months ended July 31, 2022 and 2023, our total revenues were $99.6 million and $117.2 million, respectively, representing a 17.7% increase. For the three months ended July 31, 2022 and 2023, our subscription revenues were $84.4 million and $99.9 million, respectively, representing an 18.3% increase. Due to our investments in growth, we recorded net losses attributable to nCino, Inc. of $27.2 million and $15.9 million for the three months ended July 31, 2022 and 2023, respectively. For the six months ended July 31, 2022 and 2023, our total revenues were $193.8 million and $230.9 million, respectively, representing a 19.1% increase. For the six months ended July 31, 2022 and 2023, our subscription revenues were $163.6 million and $197.2 million, respectively, representing a 20.5% increase. Due to our investments in growth, we recorded net losses attributable to nCino, Inc. of $57.9 million and $27.1 million for the six months ended July 31, 2022 and 2023,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firstLine="891"/>
        <w:spacing w:after="0" w:line="289" w:lineRule="auto"/>
        <w:rPr>
          <w:sz w:val="20"/>
          <w:szCs w:val="20"/>
          <w:color w:val="auto"/>
        </w:rPr>
      </w:pPr>
      <w:r>
        <w:rPr>
          <w:rFonts w:ascii="Arial" w:cs="Arial" w:eastAsia="Arial" w:hAnsi="Arial"/>
          <w:sz w:val="16"/>
          <w:szCs w:val="16"/>
          <w:b w:val="1"/>
          <w:bCs w:val="1"/>
          <w:i w:val="1"/>
          <w:iCs w:val="1"/>
          <w:color w:val="auto"/>
        </w:rPr>
        <w:t>Market Adoption of Our Solution</w:t>
      </w:r>
      <w:r>
        <w:rPr>
          <w:rFonts w:ascii="Arial" w:cs="Arial" w:eastAsia="Arial" w:hAnsi="Arial"/>
          <w:sz w:val="16"/>
          <w:szCs w:val="16"/>
          <w:color w:val="auto"/>
        </w:rPr>
        <w:t>. Our future growth depends on our ability to expand our reach to new FI customers and increase adoption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In addition, growing our customer base will require us to increasingly penetrate markets outside the U.S., which accounted for 18.7% of total revenues for the three months ended July 31, 2023 and 17.8% for the six months ended July 31, 2023.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66" w:lineRule="exact"/>
        <w:rPr>
          <w:sz w:val="20"/>
          <w:szCs w:val="20"/>
          <w:color w:val="auto"/>
        </w:rPr>
      </w:pPr>
    </w:p>
    <w:p>
      <w:pPr>
        <w:ind w:right="120" w:firstLine="891"/>
        <w:spacing w:after="0" w:line="273" w:lineRule="auto"/>
        <w:rPr>
          <w:sz w:val="20"/>
          <w:szCs w:val="20"/>
          <w:color w:val="auto"/>
        </w:rPr>
      </w:pPr>
      <w:r>
        <w:rPr>
          <w:rFonts w:ascii="Arial" w:cs="Arial" w:eastAsia="Arial" w:hAnsi="Arial"/>
          <w:sz w:val="17"/>
          <w:szCs w:val="17"/>
          <w:b w:val="1"/>
          <w:bCs w:val="1"/>
          <w:i w:val="1"/>
          <w:iCs w:val="1"/>
          <w:color w:val="auto"/>
        </w:rPr>
        <w:t xml:space="preserve">Mix of Subscription and Professional Services Revenues. </w:t>
      </w:r>
      <w:r>
        <w:rPr>
          <w:rFonts w:ascii="Arial" w:cs="Arial" w:eastAsia="Arial" w:hAnsi="Arial"/>
          <w:sz w:val="17"/>
          <w:szCs w:val="17"/>
          <w:color w:val="auto"/>
        </w:rPr>
        <w:t>The initial deployment of our solutions by our customers requires a period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and configuration services that typically range from three months to 18 months, depending on the scope. As a result,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78" w:lineRule="exact"/>
        <w:rPr>
          <w:sz w:val="20"/>
          <w:szCs w:val="20"/>
          <w:color w:val="auto"/>
        </w:rPr>
      </w:pPr>
    </w:p>
    <w:p>
      <w:pPr>
        <w:ind w:right="40" w:firstLine="891"/>
        <w:spacing w:after="0" w:line="286" w:lineRule="auto"/>
        <w:rPr>
          <w:sz w:val="20"/>
          <w:szCs w:val="20"/>
          <w:color w:val="auto"/>
        </w:rPr>
      </w:pPr>
      <w:r>
        <w:rPr>
          <w:rFonts w:ascii="Arial" w:cs="Arial" w:eastAsia="Arial" w:hAnsi="Arial"/>
          <w:sz w:val="17"/>
          <w:szCs w:val="17"/>
          <w:b w:val="1"/>
          <w:bCs w:val="1"/>
          <w:i w:val="1"/>
          <w:iCs w:val="1"/>
          <w:color w:val="auto"/>
        </w:rPr>
        <w:t xml:space="preserve">Macroeconomic Environment. </w:t>
      </w:r>
      <w:r>
        <w:rPr>
          <w:rFonts w:ascii="Arial" w:cs="Arial" w:eastAsia="Arial" w:hAnsi="Arial"/>
          <w:sz w:val="17"/>
          <w:szCs w:val="17"/>
          <w:color w:val="auto"/>
        </w:rPr>
        <w:t>We are currently operating in a rising interest rate environment as the U.S. Federal Reserve raises interest 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means to manage inflation. These rate increases have had an impact on the real estate market in the U.S. and specifically, the demand for mortgages and mortgage-related products and services, which has had a negative impact on our SimpleNexus business.</w:t>
      </w:r>
    </w:p>
    <w:p>
      <w:pPr>
        <w:spacing w:after="0" w:line="165" w:lineRule="exact"/>
        <w:rPr>
          <w:sz w:val="20"/>
          <w:szCs w:val="20"/>
          <w:color w:val="auto"/>
        </w:rPr>
      </w:pPr>
    </w:p>
    <w:p>
      <w:pPr>
        <w:ind w:right="240" w:firstLine="891"/>
        <w:spacing w:after="0" w:line="301" w:lineRule="auto"/>
        <w:rPr>
          <w:sz w:val="20"/>
          <w:szCs w:val="20"/>
          <w:color w:val="auto"/>
        </w:rPr>
      </w:pPr>
      <w:r>
        <w:rPr>
          <w:rFonts w:ascii="Arial" w:cs="Arial" w:eastAsia="Arial" w:hAnsi="Arial"/>
          <w:sz w:val="16"/>
          <w:szCs w:val="16"/>
          <w:color w:val="auto"/>
        </w:rPr>
        <w:t>Additionally, liquidity issues faced by certain FIs in the U.S., including Silicon Valley Bank, Signature Bank and First Republic Bank (the "Impacted FIs") have created turmoil and uncertainty surrounding the financial services industry. These Impacted FIs are customers of ours, collectively representing less than 3% of our total revenues for the year ended January 31, 2023. We have a large and diversified customer base of all types and sizes around the globe, and no individual customer represented more than 10% of the Company's revenue for the six months ended July 31, 2023.</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will continue to monitor the impact the macroeconomic environment may have on our business.</w:t>
      </w:r>
    </w:p>
    <w:p>
      <w:pPr>
        <w:spacing w:after="0" w:line="225" w:lineRule="exact"/>
        <w:rPr>
          <w:sz w:val="20"/>
          <w:szCs w:val="20"/>
          <w:color w:val="auto"/>
        </w:rPr>
      </w:pPr>
    </w:p>
    <w:p>
      <w:pPr>
        <w:ind w:right="200" w:firstLine="891"/>
        <w:spacing w:after="0" w:line="277" w:lineRule="auto"/>
        <w:rPr>
          <w:sz w:val="20"/>
          <w:szCs w:val="20"/>
          <w:color w:val="auto"/>
        </w:rPr>
      </w:pPr>
      <w:r>
        <w:rPr>
          <w:rFonts w:ascii="Arial" w:cs="Arial" w:eastAsia="Arial" w:hAnsi="Arial"/>
          <w:sz w:val="18"/>
          <w:szCs w:val="18"/>
          <w:b w:val="1"/>
          <w:bCs w:val="1"/>
          <w:i w:val="1"/>
          <w:iCs w:val="1"/>
          <w:color w:val="auto"/>
        </w:rPr>
        <w:t>Continued Investment in Innovation and Growth</w:t>
      </w:r>
      <w:r>
        <w:rPr>
          <w:rFonts w:ascii="Arial" w:cs="Arial" w:eastAsia="Arial" w:hAnsi="Arial"/>
          <w:sz w:val="18"/>
          <w:szCs w:val="18"/>
          <w:color w:val="auto"/>
        </w:rPr>
        <w:t>. We have made substantial investments in product development, sales and marketing,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acquisitions since our inception to achieve a leadership position in our market and grow our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derive our revenues from subscription and professional services and other revenues.</w:t>
      </w:r>
    </w:p>
    <w:p>
      <w:pPr>
        <w:spacing w:after="0" w:line="225"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our solutions and maintenance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services that we generally offer under non-cancellable multi-year contracts, which typically range from three to five years for the nCino Bank Operating System and one to three years for SimpleNexus. Specifically, we offer:</w:t>
      </w:r>
    </w:p>
    <w:p>
      <w:pPr>
        <w:spacing w:after="0" w:line="184" w:lineRule="exact"/>
        <w:rPr>
          <w:sz w:val="20"/>
          <w:szCs w:val="20"/>
          <w:color w:val="auto"/>
        </w:rPr>
      </w:pPr>
    </w:p>
    <w:p>
      <w:pPr>
        <w:ind w:left="1300" w:right="30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FI’s commercial, small business, and retail lines of business, for which we generally charge on a per seat basis.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nIQ for which we generally charge based on the asset size of the customer or on a usage basis.</w:t>
      </w:r>
    </w:p>
    <w:p>
      <w:pPr>
        <w:spacing w:after="0" w:line="225" w:lineRule="exact"/>
        <w:rPr>
          <w:rFonts w:ascii="Arial" w:cs="Arial" w:eastAsia="Arial" w:hAnsi="Arial"/>
          <w:sz w:val="18"/>
          <w:szCs w:val="18"/>
          <w:color w:val="auto"/>
        </w:rPr>
      </w:pPr>
    </w:p>
    <w:p>
      <w:pPr>
        <w:ind w:left="1300" w:right="30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SimpleNexus, a digital homeownership platform uniting people, systems, and stages of the mortgage process into a seamless end-to-end journey for which we generally charge on a per seat basis.</w:t>
      </w:r>
    </w:p>
    <w:p>
      <w:pPr>
        <w:spacing w:after="0" w:line="170" w:lineRule="exact"/>
        <w:rPr>
          <w:rFonts w:ascii="Arial" w:cs="Arial" w:eastAsia="Arial" w:hAnsi="Arial"/>
          <w:sz w:val="18"/>
          <w:szCs w:val="18"/>
          <w:color w:val="auto"/>
        </w:rPr>
      </w:pPr>
    </w:p>
    <w:p>
      <w:pPr>
        <w:ind w:left="1300" w:right="68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generally charge as a percentage of the related subscription fees.</w:t>
      </w:r>
    </w:p>
    <w:p>
      <w:pPr>
        <w:spacing w:after="0" w:line="170"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SimpleNexus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81" w:lineRule="exact"/>
        <w:rPr>
          <w:sz w:val="20"/>
          <w:szCs w:val="20"/>
          <w:color w:val="auto"/>
        </w:rPr>
      </w:pPr>
    </w:p>
    <w:p>
      <w:pPr>
        <w:ind w:right="80" w:firstLine="891"/>
        <w:spacing w:after="0" w:line="269" w:lineRule="auto"/>
        <w:rPr>
          <w:sz w:val="20"/>
          <w:szCs w:val="20"/>
          <w:color w:val="auto"/>
        </w:rPr>
      </w:pPr>
      <w:r>
        <w:rPr>
          <w:rFonts w:ascii="Arial" w:cs="Arial" w:eastAsia="Arial" w:hAnsi="Arial"/>
          <w:sz w:val="17"/>
          <w:szCs w:val="17"/>
          <w:i w:val="1"/>
          <w:iCs w:val="1"/>
          <w:color w:val="auto"/>
        </w:rPr>
        <w:t>Professional Services and Other Revenues</w:t>
      </w:r>
      <w:r>
        <w:rPr>
          <w:rFonts w:ascii="Arial" w:cs="Arial" w:eastAsia="Arial" w:hAnsi="Arial"/>
          <w:sz w:val="17"/>
          <w:szCs w:val="17"/>
          <w:color w:val="auto"/>
        </w:rPr>
        <w:t>. Professional services and other revenues consist of fees for implementation and configuration</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training, and advisory services. For enterprise and larger regional FIs, we generally work with SI partners to provide the majority of implementation services for the nCino Bank Operating System, for which these SI partners bill our customers directly. We have historically delivered professional services ourselves for community banks and smaller credit unions and SimpleNexus has historically provided professional services directly to its customers.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right="60" w:firstLine="891"/>
        <w:spacing w:after="0" w:line="259" w:lineRule="auto"/>
        <w:rPr>
          <w:sz w:val="20"/>
          <w:szCs w:val="20"/>
          <w:color w:val="auto"/>
        </w:rPr>
      </w:pPr>
      <w:r>
        <w:rPr>
          <w:rFonts w:ascii="Arial" w:cs="Arial" w:eastAsia="Arial" w:hAnsi="Arial"/>
          <w:sz w:val="18"/>
          <w:szCs w:val="18"/>
          <w:i w:val="1"/>
          <w:iCs w:val="1"/>
          <w:color w:val="auto"/>
        </w:rPr>
        <w:t>Cost of Subscription Revenues</w:t>
      </w:r>
      <w:r>
        <w:rPr>
          <w:rFonts w:ascii="Arial" w:cs="Arial" w:eastAsia="Arial" w:hAnsi="Arial"/>
          <w:sz w:val="18"/>
          <w:szCs w:val="18"/>
          <w:color w:val="auto"/>
        </w:rPr>
        <w:t>. Cost of subscription revenues consists of fees paid to Salesforce for access to the Salesforce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7" w:lineRule="exact"/>
        <w:rPr>
          <w:sz w:val="20"/>
          <w:szCs w:val="20"/>
          <w:color w:val="auto"/>
        </w:rPr>
      </w:pPr>
    </w:p>
    <w:p>
      <w:pPr>
        <w:ind w:firstLine="891"/>
        <w:spacing w:after="0" w:line="273" w:lineRule="auto"/>
        <w:rPr>
          <w:sz w:val="20"/>
          <w:szCs w:val="20"/>
          <w:color w:val="auto"/>
        </w:rPr>
      </w:pPr>
      <w:r>
        <w:rPr>
          <w:rFonts w:ascii="Arial" w:cs="Arial" w:eastAsia="Arial" w:hAnsi="Arial"/>
          <w:sz w:val="17"/>
          <w:szCs w:val="17"/>
          <w:i w:val="1"/>
          <w:iCs w:val="1"/>
          <w:color w:val="auto"/>
        </w:rPr>
        <w:t>Cost of Professional Services and Other Revenues</w:t>
      </w:r>
      <w:r>
        <w:rPr>
          <w:rFonts w:ascii="Arial" w:cs="Arial" w:eastAsia="Arial" w:hAnsi="Arial"/>
          <w:sz w:val="17"/>
          <w:szCs w:val="17"/>
          <w:color w:val="auto"/>
        </w:rPr>
        <w:t>. Cost of professional services and other revenues consists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firstLine="891"/>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primarily of personnel costs of our sales and marketing employees,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spacing w:after="0" w:line="164" w:lineRule="exact"/>
        <w:rPr>
          <w:sz w:val="20"/>
          <w:szCs w:val="20"/>
          <w:color w:val="auto"/>
        </w:rPr>
      </w:pPr>
    </w:p>
    <w:p>
      <w:pPr>
        <w:ind w:right="80" w:firstLine="891"/>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consist primarily of salaries, benefits and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spacing w:after="0" w:line="187" w:lineRule="exact"/>
        <w:rPr>
          <w:sz w:val="20"/>
          <w:szCs w:val="20"/>
          <w:color w:val="auto"/>
        </w:rPr>
      </w:pPr>
    </w:p>
    <w:p>
      <w:pPr>
        <w:ind w:right="260" w:firstLine="891"/>
        <w:spacing w:after="0" w:line="29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benefits and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such as legal and other professional services fees. We expect general and administrative expenses will decrease as a percentage of revenues as we leverage the investments we have made to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primarily of interest earned on our cash and cash equivalents.</w:t>
      </w:r>
    </w:p>
    <w:p>
      <w:pPr>
        <w:spacing w:after="0" w:line="225"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interest related to our financing obligations along with interest expense on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fees, and amortization of debt issuance costs associated with our secured revolving credit facility.</w:t>
      </w:r>
    </w:p>
    <w:p>
      <w:pPr>
        <w:spacing w:after="0" w:line="170" w:lineRule="exact"/>
        <w:rPr>
          <w:sz w:val="20"/>
          <w:szCs w:val="20"/>
          <w:color w:val="auto"/>
        </w:rPr>
      </w:pPr>
    </w:p>
    <w:p>
      <w:pPr>
        <w:ind w:right="20" w:firstLine="891"/>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consists primarily of foreign currency gains and losses, the majority of which is due</w:t>
      </w:r>
      <w:r>
        <w:rPr>
          <w:rFonts w:ascii="Arial" w:cs="Arial" w:eastAsia="Arial" w:hAnsi="Arial"/>
          <w:sz w:val="17"/>
          <w:szCs w:val="17"/>
          <w:i w:val="1"/>
          <w:iCs w:val="1"/>
          <w:color w:val="auto"/>
        </w:rPr>
        <w:t xml:space="preserve"> </w:t>
      </w:r>
      <w:r>
        <w:rPr>
          <w:rFonts w:ascii="Arial" w:cs="Arial" w:eastAsia="Arial" w:hAnsi="Arial"/>
          <w:sz w:val="17"/>
          <w:szCs w:val="17"/>
          <w:color w:val="auto"/>
        </w:rPr>
        <w:t>to intercompany loans that are denominated in currencies other than the underlying functional currency of the applicable entity.</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Income tax provision consists of federal and state income taxes in the U.S. and income taxes in foreign jurisdictions.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firstLine="891"/>
        <w:spacing w:after="0" w:line="277"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Quarterly Report on Form 10-Q. The following tables present our selected unaudited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condensed consolidated statements of operations data for three and six months ended July 31, 2022 and 2023 in both dollars and as a percentage of total revenues, except as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3"/>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84,445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99,897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163,634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197,237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117,236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193,838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230,908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58,876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and 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35,359</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94,235</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136,673</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62,105</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58,084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39,905</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160,094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(24,785)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redeemable non-controlling interest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loss attributable to nCino,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nCino, Inc.: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110,391,865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112,396,716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110,198,509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112,262,527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stock-based compensation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5"/>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for intangible assets as follows: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040" w:type="dxa"/>
            <w:vAlign w:val="bottom"/>
            <w:gridSpan w:val="3"/>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296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220" w:type="dxa"/>
            <w:vAlign w:val="bottom"/>
            <w:vMerge w:val="continue"/>
          </w:tcPr>
          <w:p>
            <w:pPr>
              <w:spacing w:after="0"/>
              <w:rPr>
                <w:sz w:val="15"/>
                <w:szCs w:val="15"/>
                <w:color w:val="auto"/>
              </w:rPr>
            </w:pPr>
          </w:p>
        </w:tc>
        <w:tc>
          <w:tcPr>
            <w:tcW w:w="1480" w:type="dxa"/>
            <w:vAlign w:val="bottom"/>
          </w:tcPr>
          <w:p>
            <w:pPr>
              <w:ind w:left="580"/>
              <w:spacing w:after="0"/>
              <w:rPr>
                <w:sz w:val="20"/>
                <w:szCs w:val="20"/>
                <w:color w:val="auto"/>
              </w:rPr>
            </w:pPr>
            <w:r>
              <w:rPr>
                <w:rFonts w:ascii="Arial" w:cs="Arial" w:eastAsia="Arial" w:hAnsi="Arial"/>
                <w:sz w:val="14"/>
                <w:szCs w:val="14"/>
                <w:b w:val="1"/>
                <w:bCs w:val="1"/>
                <w:color w:val="auto"/>
              </w:rPr>
              <w:t>2022</w:t>
            </w:r>
          </w:p>
        </w:tc>
        <w:tc>
          <w:tcPr>
            <w:tcW w:w="1460" w:type="dxa"/>
            <w:vAlign w:val="bottom"/>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5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14,149</w:t>
            </w:r>
          </w:p>
        </w:tc>
      </w:tr>
      <w:tr>
        <w:trPr>
          <w:trHeight w:val="21"/>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11"/>
          </w:tcPr>
          <w:p>
            <w:pPr>
              <w:jc w:val="right"/>
              <w:ind w:right="920"/>
              <w:spacing w:after="0"/>
              <w:rPr>
                <w:sz w:val="20"/>
                <w:szCs w:val="20"/>
                <w:color w:val="auto"/>
              </w:rPr>
            </w:pPr>
            <w:r>
              <w:rPr>
                <w:rFonts w:ascii="Arial" w:cs="Arial" w:eastAsia="Arial" w:hAnsi="Arial"/>
                <w:sz w:val="14"/>
                <w:szCs w:val="14"/>
                <w:b w:val="1"/>
                <w:bCs w:val="1"/>
                <w:color w:val="auto"/>
              </w:rPr>
              <w:t>Three Months Ended July 31,</w:t>
            </w:r>
          </w:p>
        </w:tc>
        <w:tc>
          <w:tcPr>
            <w:tcW w:w="292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84.8 %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84.4 %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85.4 %</w:t>
            </w:r>
          </w:p>
        </w:tc>
        <w:tc>
          <w:tcPr>
            <w:tcW w:w="0" w:type="dxa"/>
            <w:vAlign w:val="bottom"/>
          </w:tcPr>
          <w:p>
            <w:pPr>
              <w:spacing w:after="0"/>
              <w:rPr>
                <w:sz w:val="1"/>
                <w:szCs w:val="1"/>
                <w:color w:val="auto"/>
              </w:rPr>
            </w:pPr>
          </w:p>
        </w:tc>
      </w:tr>
      <w:tr>
        <w:trPr>
          <w:trHeight w:val="229"/>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9"/>
              </w:rPr>
              <w:t>Professional services and other revenues</w:t>
            </w: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14.6</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4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revenues (percentage shown in comparison to related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0"/>
              </w:rPr>
              <w:t>Cost of professional services and other revenues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105.0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41.0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40.8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59.2</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1"/>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69.4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4"/>
          </w:tcPr>
          <w:p>
            <w:pPr>
              <w:jc w:val="right"/>
              <w:ind w:right="9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100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91"/>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4"/>
          </w:tcPr>
          <w:p>
            <w:pPr>
              <w:jc w:val="right"/>
              <w:ind w:right="9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3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440" w:type="dxa"/>
            <w:vAlign w:val="bottom"/>
            <w:gridSpan w:val="12"/>
          </w:tcPr>
          <w:p>
            <w:pPr>
              <w:spacing w:after="0"/>
              <w:rPr>
                <w:sz w:val="20"/>
                <w:szCs w:val="20"/>
                <w:color w:val="auto"/>
              </w:rPr>
            </w:pPr>
            <w:r>
              <w:rPr>
                <w:rFonts w:ascii="Arial" w:cs="Arial" w:eastAsia="Arial" w:hAnsi="Arial"/>
                <w:sz w:val="18"/>
                <w:szCs w:val="18"/>
                <w:b w:val="1"/>
                <w:bCs w:val="1"/>
                <w:color w:val="auto"/>
              </w:rPr>
              <w:t>Comparison of the Three and Six Months Ended July 31, 2022 and 2023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9"/>
              </w:rPr>
              <w:t>Three Months Ended July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3"/>
              </w:rPr>
              <w:t>Six Months Ended July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4"/>
                <w:szCs w:val="14"/>
                <w:b w:val="1"/>
                <w:bCs w:val="1"/>
                <w:color w:val="auto"/>
                <w:w w:val="96"/>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84,445</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84.8 %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85.2 %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163,634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84.4 %</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197,237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Professional services and other</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15,182</w:t>
            </w:r>
          </w:p>
        </w:tc>
        <w:tc>
          <w:tcPr>
            <w:tcW w:w="10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33,671</w:t>
            </w:r>
          </w:p>
        </w:tc>
        <w:tc>
          <w:tcPr>
            <w:tcW w:w="11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99,627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117,236</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193,838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230,908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Subscription revenues increased $15.5 million for the three months ended July 31, 2023 compared to the three months ended July 31, 2022, due to initial revenues from customers who did not contribute to subscription revenues during the prior period, and growth from existing customers within and across lines of business. Of the increase, 65.0% was attributable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increased revenues from existing customers as additional seats were activated in accordance with contractual terms and customers expanded their adoption of our solutions, and 35.0% was attributable to initial revenues from customers who did not contribute to subscription revenues during the three months ended July 31, 2022. Subscription revenues were 85.2% of total revenues for the three months ended July 31, 2023 compared to 84.8% of total revenues for the three months ended July 31, 2022, primarily due to growth in our installed base.</w:t>
      </w:r>
    </w:p>
    <w:p>
      <w:pPr>
        <w:spacing w:after="0" w:line="187" w:lineRule="exact"/>
        <w:rPr>
          <w:sz w:val="20"/>
          <w:szCs w:val="20"/>
          <w:color w:val="auto"/>
        </w:rPr>
      </w:pPr>
    </w:p>
    <w:p>
      <w:pPr>
        <w:ind w:right="100" w:firstLine="891"/>
        <w:spacing w:after="0" w:line="293" w:lineRule="auto"/>
        <w:rPr>
          <w:sz w:val="20"/>
          <w:szCs w:val="20"/>
          <w:color w:val="auto"/>
        </w:rPr>
      </w:pPr>
      <w:r>
        <w:rPr>
          <w:rFonts w:ascii="Arial" w:cs="Arial" w:eastAsia="Arial" w:hAnsi="Arial"/>
          <w:sz w:val="16"/>
          <w:szCs w:val="16"/>
          <w:color w:val="auto"/>
        </w:rPr>
        <w:t>Subscription revenues increased $33.6 million for the six months ended July 31, 2023 compared to the six months ended July 31, 2022, due to initial revenues from customers who did not contribute to subscription revenues during the prior period, and growth from existing customers within and across lines of business. Of the increase, 71.6% was attributable to increased revenues from existing customers as additional seats were activated in accordance with contractual terms and customers expanded their adoption of our solutions, and 28.4% was attributable to initial revenues from customers who did not contribute to subscription revenues during the six months ended July 31, 2022. Subscription revenues were 85.4% of total revenues for the six months ended July 31, 2023 compared to 84.4% of total revenues for the six months ended July 31, 2022, primarily due to growth in our installed base.</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Professional Services and Other Revenues</w:t>
      </w:r>
    </w:p>
    <w:p>
      <w:pPr>
        <w:spacing w:after="0" w:line="225"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Professional services and other revenues increased $2.2 million for the three months ended July 31, 2023 compared to the three months ended July 31, 2022,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Professional services and other revenues increased $3.5 million for the six months ended July 31, 2023 compared to the six months ended July 31, 2022,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 July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Six Months Ended July 31,</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Cost of revenues (percentage shown in</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comparison to related revenues):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26,145</w:t>
            </w:r>
          </w:p>
        </w:tc>
        <w:tc>
          <w:tcPr>
            <w:tcW w:w="36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w w:val="92"/>
              </w:rPr>
              <w:t>31.0 %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29,719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51,655</w:t>
            </w:r>
          </w:p>
        </w:tc>
        <w:tc>
          <w:tcPr>
            <w:tcW w:w="26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w w:val="89"/>
              </w:rPr>
              <w:t>31.6 %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58,876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Cost of professional services and other</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35,359</w:t>
            </w:r>
          </w:p>
        </w:tc>
        <w:tc>
          <w:tcPr>
            <w:tcW w:w="60" w:type="dxa"/>
            <w:vAlign w:val="bottom"/>
            <w:tcBorders>
              <w:bottom w:val="single" w:sz="8" w:color="auto"/>
            </w:tcBorders>
            <w:shd w:val="clear" w:color="auto" w:fill="CCEEFF"/>
          </w:tcPr>
          <w:p>
            <w:pPr>
              <w:spacing w:after="0"/>
              <w:rPr>
                <w:sz w:val="21"/>
                <w:szCs w:val="21"/>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3"/>
        </w:trPr>
        <w:tc>
          <w:tcPr>
            <w:tcW w:w="3240" w:type="dxa"/>
            <w:vAlign w:val="bottom"/>
          </w:tcPr>
          <w:p>
            <w:pPr>
              <w:ind w:left="680"/>
              <w:spacing w:after="0"/>
              <w:rPr>
                <w:sz w:val="20"/>
                <w:szCs w:val="20"/>
                <w:color w:val="auto"/>
              </w:rPr>
            </w:pPr>
            <w:r>
              <w:rPr>
                <w:rFonts w:ascii="Arial" w:cs="Arial" w:eastAsia="Arial" w:hAnsi="Arial"/>
                <w:sz w:val="18"/>
                <w:szCs w:val="18"/>
                <w:color w:val="auto"/>
              </w:rPr>
              <w:t>Total cost of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41,221</w:t>
            </w:r>
          </w:p>
        </w:tc>
        <w:tc>
          <w:tcPr>
            <w:tcW w:w="36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48,047</w:t>
            </w:r>
          </w:p>
        </w:tc>
        <w:tc>
          <w:tcPr>
            <w:tcW w:w="3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81,523</w:t>
            </w:r>
          </w:p>
        </w:tc>
        <w:tc>
          <w:tcPr>
            <w:tcW w:w="26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94,235</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58,406</w:t>
            </w:r>
          </w:p>
        </w:tc>
        <w:tc>
          <w:tcPr>
            <w:tcW w:w="36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58.6 %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69,189</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112,315</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57.9 %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136,673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right="120" w:firstLine="891"/>
        <w:spacing w:after="0" w:line="291" w:lineRule="auto"/>
        <w:rPr>
          <w:sz w:val="20"/>
          <w:szCs w:val="20"/>
          <w:color w:val="auto"/>
        </w:rPr>
      </w:pPr>
      <w:r>
        <w:rPr>
          <w:rFonts w:ascii="Arial" w:cs="Arial" w:eastAsia="Arial" w:hAnsi="Arial"/>
          <w:sz w:val="16"/>
          <w:szCs w:val="16"/>
          <w:color w:val="auto"/>
        </w:rPr>
        <w:t>Cost of subscription revenues increased $3.6 million for the three months ended July 31, 2023 compared to the three months ended July 31, 2022, generating a gross margin for subscription revenues of 70.3% compared to a gross margin of 69.0% for the three months ended July 31, 2022. Costs related to Salesforce user fees increased $2.7 million as we continued to add new customers and sell additional functionality to existing customers and other costs of subscription revenues increased $0.1 million due to costs associated with access to other platforms and data center costs. Personnel costs, including stock-based compensation expense, increased $0.6 million, mainly from an increase in headcount. The increase in cost of subscription revenues also included an increase of $0.1 million in allocated overhead costs due to growth supporting our continued business expansion. We expect the cost of subscription revenues will continue to increase in absolute dollars as the number of users of the nCino Bank Operating System grows.</w:t>
      </w:r>
    </w:p>
    <w:p>
      <w:pPr>
        <w:spacing w:after="0" w:line="166" w:lineRule="exact"/>
        <w:rPr>
          <w:sz w:val="20"/>
          <w:szCs w:val="20"/>
          <w:color w:val="auto"/>
        </w:rPr>
      </w:pPr>
    </w:p>
    <w:p>
      <w:pPr>
        <w:ind w:firstLine="891"/>
        <w:spacing w:after="0" w:line="273" w:lineRule="auto"/>
        <w:rPr>
          <w:sz w:val="20"/>
          <w:szCs w:val="20"/>
          <w:color w:val="auto"/>
        </w:rPr>
      </w:pPr>
      <w:r>
        <w:rPr>
          <w:rFonts w:ascii="Arial" w:cs="Arial" w:eastAsia="Arial" w:hAnsi="Arial"/>
          <w:sz w:val="17"/>
          <w:szCs w:val="17"/>
          <w:color w:val="auto"/>
        </w:rPr>
        <w:t>Cost of subscription revenues increased $7.2 million for the six months ended July 31, 2023 compared to the six months ended July 31, 2022, generating a gross margin for subscription revenues of 70.1% compared to a gross margin of 68.4% for the six months ended July 31, 2022. Costs related to Salesforce user fees increased $5.5 million as we continued to add new customers and sell additional functionality to existing customers and other costs of subscription revenues increased $0.7 million due to costs associated with access to other platforms and data center costs. Personnel costs, including stock-based compensation expense, increased $0.8 million, mainly from an increase in headcount. The increase in cost of subscription revenues also included an increase of $0.3 million in allocated overhead costs due to growth supporting our continued business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expansion. We expect the cost of subscription revenues will continue to increase in absolute dollars as the number of users of the nCino Bank Operating System grows.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Professional Services and Other Revenues</w:t>
      </w:r>
    </w:p>
    <w:p>
      <w:pPr>
        <w:spacing w:after="0" w:line="225" w:lineRule="exact"/>
        <w:rPr>
          <w:sz w:val="20"/>
          <w:szCs w:val="20"/>
          <w:color w:val="auto"/>
        </w:rPr>
      </w:pPr>
    </w:p>
    <w:p>
      <w:pPr>
        <w:ind w:right="40" w:firstLine="891"/>
        <w:spacing w:after="0" w:line="272" w:lineRule="auto"/>
        <w:rPr>
          <w:sz w:val="20"/>
          <w:szCs w:val="20"/>
          <w:color w:val="auto"/>
        </w:rPr>
      </w:pPr>
      <w:r>
        <w:rPr>
          <w:rFonts w:ascii="Arial" w:cs="Arial" w:eastAsia="Arial" w:hAnsi="Arial"/>
          <w:sz w:val="17"/>
          <w:szCs w:val="17"/>
          <w:color w:val="auto"/>
        </w:rPr>
        <w:t>Cost of professional services and other revenues increased $3.3 million for the three months ended July 31, 2023 compared to the three months ended July 31, 2022, generating a gross margin for professional services and other revenues of (5.7)% compared to a gross margin of 0.7% for the three months ended July 31, 2022. For the three months ended July 31, 2023, personnel costs, including stock-based compensation expense, increased $2.6 million for professional services compared to the three months ended July 31, 2022, mainly from an increase in headcount. The increase in cost of professional services and other revenues also included an increase of $0.3 million in allocated overhead costs due to growth supporting our business. The decrease in our professional services and other gross margin for the three months ended July 31, 2023 was primarily due to a decline in realized effective billing and utilization rates in our professional services teams.</w:t>
      </w:r>
    </w:p>
    <w:p>
      <w:pPr>
        <w:spacing w:after="0" w:line="177" w:lineRule="exact"/>
        <w:rPr>
          <w:sz w:val="20"/>
          <w:szCs w:val="20"/>
          <w:color w:val="auto"/>
        </w:rPr>
      </w:pPr>
    </w:p>
    <w:p>
      <w:pPr>
        <w:ind w:right="60" w:firstLine="891"/>
        <w:spacing w:after="0" w:line="272" w:lineRule="auto"/>
        <w:rPr>
          <w:sz w:val="20"/>
          <w:szCs w:val="20"/>
          <w:color w:val="auto"/>
        </w:rPr>
      </w:pPr>
      <w:r>
        <w:rPr>
          <w:rFonts w:ascii="Arial" w:cs="Arial" w:eastAsia="Arial" w:hAnsi="Arial"/>
          <w:sz w:val="17"/>
          <w:szCs w:val="17"/>
          <w:color w:val="auto"/>
        </w:rPr>
        <w:t>Cost of professional services and other revenues increased $5.5 million for the six months ended July 31, 2023 compared to the six months ended July 31, 2022, generating a gross margin for professional services and other revenues of (5.0)% compared to a gross margin of 1.1% for the six months ended July 31, 2022. For the six months ended July 31, 2023, personnel costs, including stock-based compensation expense, increased $4.3 million for professional services compared to the six months ended July 31, 2022, mainly from an increase in headcount. The increase in cost of professional services and other revenues also included an increase of $0.7 million in allocated overhead costs due to growth supporting our business. The decrease in our professional services and other gross margin for the six months ended July 31, 2023 was primarily due to a decline in realized effective billing and utilization rates in our professional services teams.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9"/>
              </w:rPr>
              <w:t>Three Months Ended July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July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32,512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32.6 %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32,164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27.4 %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w w:val="89"/>
              </w:rPr>
              <w:t>31.9 %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26.9 %</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29,701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21,199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21,930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83,412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83,983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164,552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160,094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3160" w:type="dxa"/>
            <w:vAlign w:val="bottom"/>
          </w:tcPr>
          <w:p>
            <w:pPr>
              <w:ind w:left="11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(25,006)</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(25.1)%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(14,794)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(12.6)%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(52,237)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1"/>
              </w:rPr>
              <w:t>(26.9)%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00" w:firstLine="891"/>
        <w:spacing w:after="0" w:line="273" w:lineRule="auto"/>
        <w:rPr>
          <w:sz w:val="20"/>
          <w:szCs w:val="20"/>
          <w:color w:val="auto"/>
        </w:rPr>
      </w:pPr>
      <w:r>
        <w:rPr>
          <w:rFonts w:ascii="Arial" w:cs="Arial" w:eastAsia="Arial" w:hAnsi="Arial"/>
          <w:sz w:val="17"/>
          <w:szCs w:val="17"/>
          <w:color w:val="auto"/>
        </w:rPr>
        <w:t>Sales and marketing expenses decreased $0.3 million for the three months ended July 31, 2023 compared to the three months ended July 31, 2022, primarily due to a decrease of $0.6 million in sales-related travel costs, a decrease of $0.3 million in marketing costs, and a decrease of $0.1 million in third-party professional fees. The decrease in sales and marketing expenses was partially offset by an increase of $0.4 million in personnel costs, including stock-based compensation expense, mainly from compensation increases, the impact of changing our merit cycle from a work anniversary basis to an annual basis, and an increase in expatriate tax equalization expenses offset by a decrease in headcount. The decrease in sales and marketing expenses was also partially offset by an increase of $0.3 million in allocated overhead costs.</w:t>
      </w:r>
    </w:p>
    <w:p>
      <w:pPr>
        <w:spacing w:after="0" w:line="178" w:lineRule="exact"/>
        <w:rPr>
          <w:sz w:val="20"/>
          <w:szCs w:val="20"/>
          <w:color w:val="auto"/>
        </w:rPr>
      </w:pPr>
    </w:p>
    <w:p>
      <w:pPr>
        <w:ind w:firstLine="891"/>
        <w:spacing w:after="0" w:line="273" w:lineRule="auto"/>
        <w:rPr>
          <w:sz w:val="20"/>
          <w:szCs w:val="20"/>
          <w:color w:val="auto"/>
        </w:rPr>
      </w:pPr>
      <w:r>
        <w:rPr>
          <w:rFonts w:ascii="Arial" w:cs="Arial" w:eastAsia="Arial" w:hAnsi="Arial"/>
          <w:sz w:val="17"/>
          <w:szCs w:val="17"/>
          <w:color w:val="auto"/>
        </w:rPr>
        <w:t>Sales and marketing expenses increased $0.3 million for the six months ended July 31, 2023 compared to the six months ended July 31, 2022, primarily due to an increase of $0.5 million in allocated overhead costs and an increase of $0.5 million in third-party professional fees. The increase in sales and marketing expenses also included an increase of $0.1 million in personnel costs, including stock-based compensation expense, mainly from compensation increases, the impact of changing our merit cycle from a work anniversary basis to an annual basis, and an increase in expatriate tax equalization expenses offset by a decrease in headcount. The increase in sales and marketing expenses was partially offset by a decrease of $0.6 million in marketing costs and a decrease of $0.2 million in sales-related travel costs.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sales and marketing headcount decreased by 75 from July 31, 2022 to July 31, 2023 primarily due to attrition and our workforce reduction.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sales and marketing expenses will decrease as a percentage of revenues as we leverage the investments we have made to date.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891"/>
        <w:spacing w:after="0" w:line="255" w:lineRule="auto"/>
        <w:rPr>
          <w:sz w:val="20"/>
          <w:szCs w:val="20"/>
          <w:color w:val="auto"/>
        </w:rPr>
      </w:pPr>
      <w:r>
        <w:rPr>
          <w:rFonts w:ascii="Arial" w:cs="Arial" w:eastAsia="Arial" w:hAnsi="Arial"/>
          <w:sz w:val="18"/>
          <w:szCs w:val="18"/>
          <w:color w:val="auto"/>
        </w:rPr>
        <w:t>Research and development expenses increased $0.2 million for the three months ended July 31, 2023 compared to the three months ended July 31, 2022, primarily due to an increase of $0.7 million in personnel costs, primarily attributable to a $1.7 million increase in stock-based compensation expense, compensation increases, and the impact of changing our merit cycle from a work anniversary basis to an annual basis offset by a decrease in headcount. The increase in research and development expenses also included an increase of $0.4 million in allocated overhead costs due to growth supporting our continued business expansion, partially offset by a decrease of $1.0 million in third-party professional fees as a result of lower contract research and development spend.</w:t>
      </w:r>
    </w:p>
    <w:p>
      <w:pPr>
        <w:spacing w:after="0" w:line="192"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Research and development expenses decreased $0.7 million for the six months ended July 31, 2023 compared to the six months ended July 31, 2022, primarily due to an increase of $0.9 million in allocated overhead costs due to growth supporting our continued business expansion and an increase of $0.3 million in personnel costs, primarily attributable to a $1.8 million increase in stock-based compensation, compensation increases, and the impact of changing our merit cycle from a work anniversary basis to an annual basis offset by a decrease in headcount. The increase in research and development expenses was partially offset by a $2.0 million decrease in third-party professional fees primarily attributable to reduced contract research and development spend.</w:t>
      </w:r>
    </w:p>
    <w:p>
      <w:pPr>
        <w:spacing w:after="0" w:line="192" w:lineRule="exact"/>
        <w:rPr>
          <w:sz w:val="20"/>
          <w:szCs w:val="20"/>
          <w:color w:val="auto"/>
        </w:rPr>
      </w:pPr>
    </w:p>
    <w:p>
      <w:pPr>
        <w:ind w:right="160" w:firstLine="891"/>
        <w:spacing w:after="0" w:line="342" w:lineRule="auto"/>
        <w:rPr>
          <w:sz w:val="20"/>
          <w:szCs w:val="20"/>
          <w:color w:val="auto"/>
        </w:rPr>
      </w:pPr>
      <w:r>
        <w:rPr>
          <w:rFonts w:ascii="Arial" w:cs="Arial" w:eastAsia="Arial" w:hAnsi="Arial"/>
          <w:sz w:val="16"/>
          <w:szCs w:val="16"/>
          <w:color w:val="auto"/>
        </w:rPr>
        <w:t>Our research and development headcount decreased by 84 from July 31, 2022 to July 31, 2023 primarily due to our workforce reduction. We expect research and development expenses will decrease as a percentage of revenues as we leverage the investments we have made to date.</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891"/>
        <w:spacing w:after="0" w:line="289" w:lineRule="auto"/>
        <w:rPr>
          <w:sz w:val="20"/>
          <w:szCs w:val="20"/>
          <w:color w:val="auto"/>
        </w:rPr>
      </w:pPr>
      <w:r>
        <w:rPr>
          <w:rFonts w:ascii="Arial" w:cs="Arial" w:eastAsia="Arial" w:hAnsi="Arial"/>
          <w:sz w:val="16"/>
          <w:szCs w:val="16"/>
          <w:color w:val="auto"/>
        </w:rPr>
        <w:t>General and administrative expenses increased $0.7 million for the three months ended July 31, 2023 compared to the three months ended July 31, 2022, primarily due to an increase of $0.7 million in third party professional fees, mostly attributable to the accrual for the proposed settlement agreement of approximately $2.2 million, disclosed in Note 12 "Commitments and Contingencies" of Part I, Item I of this Quarterly Report on Form 10-Q, partially offset by a decrease in third party professional fees and expenses related to other litigation expenses including the government antitrust investigation and related civil action (the "Antitrust Matters"). The increase in general and administrative expenses for the three months ended July 31, 2023 compared to the three months ended July 31, 2022 also included an increase of $0.1 million in allocated overhead and other general and administrative costs and an increase of $0.1 million in personnel costs, mostly attributable to compensation increases and the impact of changing our merit cycle from a work anniversary basis to an annual basis partially offset by a decrease in headcount and a decrease of $0.1 million in stock-based compensation expense. The increase in general and administrative expenses was partially offset by a decrease of $0.2 million in travel-related costs.</w:t>
      </w:r>
    </w:p>
    <w:p>
      <w:pPr>
        <w:spacing w:after="0" w:line="166" w:lineRule="exact"/>
        <w:rPr>
          <w:sz w:val="20"/>
          <w:szCs w:val="20"/>
          <w:color w:val="auto"/>
        </w:rPr>
      </w:pPr>
    </w:p>
    <w:p>
      <w:pPr>
        <w:ind w:right="20" w:firstLine="891"/>
        <w:spacing w:after="0" w:line="270" w:lineRule="auto"/>
        <w:rPr>
          <w:sz w:val="20"/>
          <w:szCs w:val="20"/>
          <w:color w:val="auto"/>
        </w:rPr>
      </w:pPr>
      <w:r>
        <w:rPr>
          <w:rFonts w:ascii="Arial" w:cs="Arial" w:eastAsia="Arial" w:hAnsi="Arial"/>
          <w:sz w:val="17"/>
          <w:szCs w:val="17"/>
          <w:color w:val="auto"/>
        </w:rPr>
        <w:t>General and administrative expenses decreased $4.0 million for the six months ended July 31, 2023 compared to the six months ended July 31, 2022, primarily due to a decrease of $3.1 million in personnel costs, mostly attributable to a $2.3 million decrease in stock-based compensation expense, and a decrease in headcount partially offset by compensation increases and the impact of changing our merit cycle from a work anniversary basis to an annual basis. The decrease in general and administrative spend also included a decrease of $1.0 million in third party professional fees for the six months ended July 31, 2023 compared to the six months ended July 31, 2022, mostly attributable to a decrease in third party professional fees and expenses related to acquisition costs for SimpleNexus and fees and expenses related to the Antitrust Matters, partially offset by the accrual for the proposed settlement agreement of approximately $2.2 million, disclosed in Note 12 "Commitments and Contingencies" of Part I, Item I of this Quarterly Report on Form 10-Q. The decrease in general and administrative expenses also included a decrease of $0.3 million in travel related costs, partially offset by an increase of $0.4 million in allocated overhead and other general and administrative costs.</w:t>
      </w:r>
    </w:p>
    <w:p>
      <w:pPr>
        <w:spacing w:after="0" w:line="181" w:lineRule="exact"/>
        <w:rPr>
          <w:sz w:val="20"/>
          <w:szCs w:val="20"/>
          <w:color w:val="auto"/>
        </w:rPr>
      </w:pPr>
    </w:p>
    <w:p>
      <w:pPr>
        <w:ind w:right="20" w:firstLine="891"/>
        <w:spacing w:after="0" w:line="259" w:lineRule="auto"/>
        <w:rPr>
          <w:sz w:val="20"/>
          <w:szCs w:val="20"/>
          <w:color w:val="auto"/>
        </w:rPr>
      </w:pPr>
      <w:r>
        <w:rPr>
          <w:rFonts w:ascii="Arial" w:cs="Arial" w:eastAsia="Arial" w:hAnsi="Arial"/>
          <w:sz w:val="18"/>
          <w:szCs w:val="18"/>
          <w:color w:val="auto"/>
        </w:rPr>
        <w:t>Our general and administrative headcount decreased by 3 from July 31, 2022 to July 31, 2023, primarily due to our workforce reduction which was partially offset by employees that moved from our sales and marketing department to our general and administrative department due to a change in responsibilities. We expect general and administrative expenses will decrease as a percentage of revenues as we leverage the investments we have made to date.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jc w:val="right"/>
              <w:ind w:right="335"/>
              <w:spacing w:after="0"/>
              <w:rPr>
                <w:sz w:val="20"/>
                <w:szCs w:val="20"/>
                <w:color w:val="auto"/>
              </w:rPr>
            </w:pPr>
            <w:r>
              <w:rPr>
                <w:rFonts w:ascii="Arial" w:cs="Arial" w:eastAsia="Arial" w:hAnsi="Arial"/>
                <w:sz w:val="14"/>
                <w:szCs w:val="14"/>
                <w:b w:val="1"/>
                <w:bCs w:val="1"/>
                <w:color w:val="auto"/>
              </w:rPr>
              <w:t>Three Months Ended July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w w:val="93"/>
              </w:rPr>
              <w:t>Six Months Ended July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835</w:t>
            </w:r>
          </w:p>
        </w:tc>
        <w:tc>
          <w:tcPr>
            <w:tcW w:w="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0.7 %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1,372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ind w:right="357"/>
              <w:spacing w:after="0"/>
              <w:rPr>
                <w:sz w:val="20"/>
                <w:szCs w:val="20"/>
                <w:color w:val="auto"/>
              </w:rPr>
            </w:pPr>
            <w:r>
              <w:rPr>
                <w:rFonts w:ascii="Arial" w:cs="Arial" w:eastAsia="Arial" w:hAnsi="Arial"/>
                <w:sz w:val="18"/>
                <w:szCs w:val="18"/>
                <w:color w:val="auto"/>
              </w:rPr>
              <w:t>(631)</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55"/>
              <w:spacing w:after="0"/>
              <w:rPr>
                <w:sz w:val="20"/>
                <w:szCs w:val="20"/>
                <w:color w:val="auto"/>
              </w:rPr>
            </w:pPr>
            <w:r>
              <w:rPr>
                <w:rFonts w:ascii="Arial" w:cs="Arial" w:eastAsia="Arial" w:hAnsi="Arial"/>
                <w:sz w:val="18"/>
                <w:szCs w:val="18"/>
                <w:color w:val="auto"/>
              </w:rPr>
              <w:t>(1,044)</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35"/>
              <w:spacing w:after="0"/>
              <w:rPr>
                <w:sz w:val="20"/>
                <w:szCs w:val="20"/>
                <w:color w:val="auto"/>
              </w:rPr>
            </w:pPr>
            <w:r>
              <w:rPr>
                <w:rFonts w:ascii="Arial" w:cs="Arial" w:eastAsia="Arial" w:hAnsi="Arial"/>
                <w:sz w:val="18"/>
                <w:szCs w:val="18"/>
                <w:color w:val="auto"/>
              </w:rPr>
              <w:t>(1,269)</w:t>
            </w: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5"/>
              <w:spacing w:after="0"/>
              <w:rPr>
                <w:sz w:val="20"/>
                <w:szCs w:val="20"/>
                <w:color w:val="auto"/>
              </w:rPr>
            </w:pPr>
            <w:r>
              <w:rPr>
                <w:rFonts w:ascii="Arial" w:cs="Arial" w:eastAsia="Arial" w:hAnsi="Arial"/>
                <w:sz w:val="18"/>
                <w:szCs w:val="18"/>
                <w:color w:val="auto"/>
              </w:rPr>
              <w:t>(2,423)</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(1,014)</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469</w:t>
            </w:r>
          </w:p>
        </w:tc>
        <w:tc>
          <w:tcPr>
            <w:tcW w:w="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(2,587)</w:t>
            </w:r>
          </w:p>
        </w:tc>
        <w:tc>
          <w:tcPr>
            <w:tcW w:w="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(313)</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00" w:firstLine="891"/>
        <w:spacing w:after="0" w:line="273" w:lineRule="auto"/>
        <w:rPr>
          <w:sz w:val="20"/>
          <w:szCs w:val="20"/>
          <w:color w:val="auto"/>
        </w:rPr>
      </w:pPr>
      <w:r>
        <w:rPr>
          <w:rFonts w:ascii="Arial" w:cs="Arial" w:eastAsia="Arial" w:hAnsi="Arial"/>
          <w:sz w:val="17"/>
          <w:szCs w:val="17"/>
          <w:color w:val="auto"/>
        </w:rPr>
        <w:t>Interest income increased $0.8 million for the three months ended July 31, 2023 compared to the three months ended July 31, 2022, due to increase in our accounts earning interest and increased interest rates. Interest expense increased $0.4 million for the three months ended July 31, 2023 compared to the three months ended July 31, 2022, due to borrowing on our revolving credit facility and an increase in our financing obligations for leases for which we are considered the owners for accounting purposes. The decrease of $1.5 million in other income (expense), net for the three months ended July 31, 2023 compared to the three months ended July 31, 2022, was primarily driven by intercompany loans and transactions that are denominated in currencies other than the underlying functional currency of the applicable entity.</w:t>
      </w:r>
    </w:p>
    <w:p>
      <w:pPr>
        <w:spacing w:after="0" w:line="178" w:lineRule="exact"/>
        <w:rPr>
          <w:sz w:val="20"/>
          <w:szCs w:val="20"/>
          <w:color w:val="auto"/>
        </w:rPr>
      </w:pPr>
    </w:p>
    <w:p>
      <w:pPr>
        <w:ind w:right="40" w:firstLine="891"/>
        <w:spacing w:after="0" w:line="255" w:lineRule="auto"/>
        <w:rPr>
          <w:sz w:val="20"/>
          <w:szCs w:val="20"/>
          <w:color w:val="auto"/>
        </w:rPr>
      </w:pPr>
      <w:r>
        <w:rPr>
          <w:rFonts w:ascii="Arial" w:cs="Arial" w:eastAsia="Arial" w:hAnsi="Arial"/>
          <w:sz w:val="18"/>
          <w:szCs w:val="18"/>
          <w:color w:val="auto"/>
        </w:rPr>
        <w:t>Interest income increased $1.3 million for the six months ended July 31, 2023 compared to the six months ended July 31, 2022, due to increase in our accounts earning interest and increased interest rates. Interest expense increased $1.2 million for the six months ended July 31, 2023 compared to the six months ended July 31, 2022, due to borrowing on our revolving credit facility and an increase in our financing obligations for leases for which we are considered the owners for accounting purposes. The decrease of $2.3 million in other expense, net for the six months ended July 31, 2023 compared to the six months ended July 31, 2022, was primarily driven by intercompany loans and transactions that are denominated in currencies other than the underlying functional currency of the applicable entity.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jc w:val="right"/>
              <w:ind w:right="359"/>
              <w:spacing w:after="0"/>
              <w:rPr>
                <w:sz w:val="20"/>
                <w:szCs w:val="20"/>
                <w:color w:val="auto"/>
              </w:rPr>
            </w:pPr>
            <w:r>
              <w:rPr>
                <w:rFonts w:ascii="Arial" w:cs="Arial" w:eastAsia="Arial" w:hAnsi="Arial"/>
                <w:sz w:val="14"/>
                <w:szCs w:val="14"/>
                <w:b w:val="1"/>
                <w:bCs w:val="1"/>
                <w:color w:val="auto"/>
              </w:rPr>
              <w:t>Three Months Ended July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Six Months Ended July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1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799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1,545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1,362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60" w:firstLine="891"/>
        <w:spacing w:after="0" w:line="277" w:lineRule="auto"/>
        <w:rPr>
          <w:sz w:val="20"/>
          <w:szCs w:val="20"/>
          <w:color w:val="auto"/>
        </w:rPr>
      </w:pPr>
      <w:r>
        <w:rPr>
          <w:rFonts w:ascii="Arial" w:cs="Arial" w:eastAsia="Arial" w:hAnsi="Arial"/>
          <w:sz w:val="18"/>
          <w:szCs w:val="18"/>
          <w:color w:val="auto"/>
        </w:rPr>
        <w:t>Income tax provision was $1.5 million for the three months ended July 31, 2023 compared to a provision of $0.8 million for the three months ended July 31, 2022, and resulted in an effective tax rate of (10.6)% and (3.0)%, respectively.</w:t>
      </w:r>
    </w:p>
    <w:p>
      <w:pPr>
        <w:spacing w:after="0" w:line="170"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Income tax provision was $2.9 million for the six months ended July 31, 2023 compared to a provision of $1.4 million for the six months ended July 31, 2022, and resulted in an effective tax rate of (11.9)% and (2.4)%, respectively.</w:t>
      </w:r>
    </w:p>
    <w:p>
      <w:pPr>
        <w:spacing w:after="0" w:line="170" w:lineRule="exact"/>
        <w:rPr>
          <w:sz w:val="20"/>
          <w:szCs w:val="20"/>
          <w:color w:val="auto"/>
        </w:rPr>
      </w:pPr>
    </w:p>
    <w:p>
      <w:pPr>
        <w:ind w:right="440" w:firstLine="891"/>
        <w:spacing w:after="0" w:line="277" w:lineRule="auto"/>
        <w:rPr>
          <w:sz w:val="20"/>
          <w:szCs w:val="20"/>
          <w:color w:val="auto"/>
        </w:rPr>
      </w:pPr>
      <w:r>
        <w:rPr>
          <w:rFonts w:ascii="Arial" w:cs="Arial" w:eastAsia="Arial" w:hAnsi="Arial"/>
          <w:sz w:val="18"/>
          <w:szCs w:val="18"/>
          <w:color w:val="auto"/>
        </w:rPr>
        <w:t>We continue to maintain a valuation allowance against our deferred tax assets in most jurisdictions, including the U.S. It is determined by management when a valuation allowance should be recorded, utilizing significant judgement and the use of estimates.</w:t>
      </w:r>
    </w:p>
    <w:p>
      <w:pPr>
        <w:spacing w:after="0" w:line="170" w:lineRule="exact"/>
        <w:rPr>
          <w:sz w:val="20"/>
          <w:szCs w:val="20"/>
          <w:color w:val="auto"/>
        </w:rPr>
      </w:pPr>
    </w:p>
    <w:p>
      <w:pPr>
        <w:jc w:val="both"/>
        <w:ind w:right="260" w:firstLine="891"/>
        <w:spacing w:after="0" w:line="286" w:lineRule="auto"/>
        <w:rPr>
          <w:sz w:val="20"/>
          <w:szCs w:val="20"/>
          <w:color w:val="auto"/>
        </w:rPr>
      </w:pPr>
      <w:r>
        <w:rPr>
          <w:rFonts w:ascii="Arial" w:cs="Arial" w:eastAsia="Arial" w:hAnsi="Arial"/>
          <w:sz w:val="17"/>
          <w:szCs w:val="17"/>
          <w:color w:val="auto"/>
        </w:rPr>
        <w:t>We have adopted, as required, Code Section 174, as amended by the Tax Cuts and Jobs Act of 2017. This will result in the repartition of our deferred tax asset balances from net operating losses and tax credit carryforwards to non-tax attribute deferred tax balances. In addition, this may reduce our operating cash flows in future periods through cash remittances of U.S. federal and state income tax.</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160" w:firstLine="891"/>
        <w:spacing w:after="0" w:line="275" w:lineRule="auto"/>
        <w:rPr>
          <w:sz w:val="20"/>
          <w:szCs w:val="20"/>
          <w:color w:val="auto"/>
        </w:rPr>
      </w:pPr>
      <w:r>
        <w:rPr>
          <w:rFonts w:ascii="Arial" w:cs="Arial" w:eastAsia="Arial" w:hAnsi="Arial"/>
          <w:sz w:val="17"/>
          <w:szCs w:val="17"/>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76" w:lineRule="exact"/>
        <w:rPr>
          <w:sz w:val="20"/>
          <w:szCs w:val="20"/>
          <w:color w:val="auto"/>
        </w:rPr>
      </w:pPr>
    </w:p>
    <w:p>
      <w:pPr>
        <w:ind w:right="400" w:firstLine="891"/>
        <w:spacing w:after="0" w:line="263" w:lineRule="auto"/>
        <w:rPr>
          <w:sz w:val="20"/>
          <w:szCs w:val="20"/>
          <w:color w:val="auto"/>
        </w:rPr>
      </w:pPr>
      <w:r>
        <w:rPr>
          <w:rFonts w:ascii="Arial" w:cs="Arial" w:eastAsia="Arial" w:hAnsi="Arial"/>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income (loss), as discussed below.</w:t>
      </w:r>
    </w:p>
    <w:p>
      <w:pPr>
        <w:spacing w:after="0" w:line="187" w:lineRule="exact"/>
        <w:rPr>
          <w:sz w:val="20"/>
          <w:szCs w:val="20"/>
          <w:color w:val="auto"/>
        </w:rPr>
      </w:pPr>
    </w:p>
    <w:p>
      <w:pPr>
        <w:ind w:right="40" w:firstLine="891"/>
        <w:spacing w:after="0" w:line="291" w:lineRule="auto"/>
        <w:rPr>
          <w:sz w:val="20"/>
          <w:szCs w:val="20"/>
          <w:color w:val="auto"/>
        </w:rPr>
      </w:pPr>
      <w:r>
        <w:rPr>
          <w:rFonts w:ascii="Arial" w:cs="Arial" w:eastAsia="Arial" w:hAnsi="Arial"/>
          <w:sz w:val="16"/>
          <w:szCs w:val="16"/>
          <w:i w:val="1"/>
          <w:iCs w:val="1"/>
          <w:color w:val="auto"/>
        </w:rPr>
        <w:t xml:space="preserve">Non-GAAP operating income (loss). </w:t>
      </w:r>
      <w:r>
        <w:rPr>
          <w:rFonts w:ascii="Arial" w:cs="Arial" w:eastAsia="Arial" w:hAnsi="Arial"/>
          <w:sz w:val="16"/>
          <w:szCs w:val="16"/>
          <w:color w:val="auto"/>
        </w:rPr>
        <w:t>Non-GAAP operating income (loss) is defined as loss from operations as reported in our unaudited</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consolidated statements of operations excluding the impact of amortization of intangible assets, stock-based compensation expense, acquisition-related expenses, legal expenses related to certain litigation, and restructuring and related charges. See Note 15 "Restructuring" of the notes to our unaudited condensed consolidated financial statements included in Part I, Item 1 of this Quarterly Report on Form 10-Q for more information on the charges related to restructuring. Non-GAAP operating income (loss) is widely used by securities analysts, investors, and other interested parties to evaluate the profitability of companies. Non-GAAP operating income (loss) eliminates potential differences in performance caused by these items that are not indicative of the Company's ongoing operating performance and hinders comparability with prior and future performance.</w:t>
      </w:r>
    </w:p>
    <w:p>
      <w:pPr>
        <w:spacing w:after="0" w:line="166"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61" w:lineRule="exact"/>
        <w:rPr>
          <w:sz w:val="20"/>
          <w:szCs w:val="20"/>
          <w:color w:val="auto"/>
        </w:rPr>
      </w:pPr>
    </w:p>
    <w:p>
      <w:pPr>
        <w:ind w:right="300" w:firstLine="891"/>
        <w:spacing w:after="0" w:line="277" w:lineRule="auto"/>
        <w:rPr>
          <w:sz w:val="20"/>
          <w:szCs w:val="20"/>
          <w:color w:val="auto"/>
        </w:rPr>
      </w:pPr>
      <w:r>
        <w:rPr>
          <w:rFonts w:ascii="Arial" w:cs="Arial" w:eastAsia="Arial" w:hAnsi="Arial"/>
          <w:sz w:val="18"/>
          <w:szCs w:val="18"/>
          <w:color w:val="auto"/>
        </w:rPr>
        <w:t>The following table reconciles non-GAAP operating income (loss) to loss from operations, the most directly comparable financial measure, calculated and presented in accordance with GAAP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loss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26,146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Acquisition-related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line="230" w:lineRule="exact"/>
              <w:rPr>
                <w:sz w:val="20"/>
                <w:szCs w:val="20"/>
                <w:color w:val="auto"/>
              </w:rPr>
            </w:pPr>
            <w:r>
              <w:rPr>
                <w:rFonts w:ascii="Arial" w:cs="Arial" w:eastAsia="Arial" w:hAnsi="Arial"/>
                <w:sz w:val="18"/>
                <w:szCs w:val="18"/>
                <w:color w:val="auto"/>
              </w:rPr>
              <w:t>Litigation expenses</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Restructuring and related charges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45,784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45,544</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operating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Represents legal expenses related to the Antitrust Matters and a shareholder derivative lawsuit.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891"/>
        <w:spacing w:after="0" w:line="286" w:lineRule="auto"/>
        <w:rPr>
          <w:sz w:val="20"/>
          <w:szCs w:val="20"/>
          <w:color w:val="auto"/>
        </w:rPr>
      </w:pPr>
      <w:r>
        <w:rPr>
          <w:rFonts w:ascii="Arial" w:cs="Arial" w:eastAsia="Arial" w:hAnsi="Arial"/>
          <w:sz w:val="17"/>
          <w:szCs w:val="17"/>
          <w:color w:val="auto"/>
        </w:rPr>
        <w:t>As of July 31, 2023, we had $98.0 million in cash and cash equivalents, and an accumulated deficit of $337.5 million. Our net losses have been driven by our investments in developing the nCino Bank Operating System and scaling our sales and marketing organization and finance and administrative functions to support our rapid growth. We expect to continue to incur operating losses on a GAAP basis for the foreseeable future.</w:t>
      </w:r>
    </w:p>
    <w:p>
      <w:pPr>
        <w:spacing w:after="0" w:line="165" w:lineRule="exact"/>
        <w:rPr>
          <w:sz w:val="20"/>
          <w:szCs w:val="20"/>
          <w:color w:val="auto"/>
        </w:rPr>
      </w:pPr>
    </w:p>
    <w:p>
      <w:pPr>
        <w:ind w:right="40" w:firstLine="891"/>
        <w:spacing w:after="0" w:line="296" w:lineRule="auto"/>
        <w:rPr>
          <w:sz w:val="20"/>
          <w:szCs w:val="20"/>
          <w:color w:val="auto"/>
        </w:rPr>
      </w:pPr>
      <w:r>
        <w:rPr>
          <w:rFonts w:ascii="Arial" w:cs="Arial" w:eastAsia="Arial" w:hAnsi="Arial"/>
          <w:sz w:val="16"/>
          <w:szCs w:val="16"/>
          <w:color w:val="auto"/>
        </w:rPr>
        <w:t>To date, we have funded our capital needs through issuances of common stock including our initial public offering in July 2020, operating cash flows, and during fiscal 2023,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61" w:lineRule="exact"/>
        <w:rPr>
          <w:sz w:val="20"/>
          <w:szCs w:val="20"/>
          <w:color w:val="auto"/>
        </w:rPr>
      </w:pPr>
    </w:p>
    <w:p>
      <w:pPr>
        <w:ind w:right="500" w:firstLine="891"/>
        <w:spacing w:after="0" w:line="277" w:lineRule="auto"/>
        <w:rPr>
          <w:sz w:val="20"/>
          <w:szCs w:val="20"/>
          <w:color w:val="auto"/>
        </w:rPr>
      </w:pPr>
      <w:r>
        <w:rPr>
          <w:rFonts w:ascii="Arial" w:cs="Arial" w:eastAsia="Arial" w:hAnsi="Arial"/>
          <w:sz w:val="18"/>
          <w:szCs w:val="18"/>
          <w:color w:val="auto"/>
        </w:rPr>
        <w:t>On February 11, 2022, we entered into the Credit Facility of up to $50.0 million. We borrowed and repaid $20.0 million under the Credit Facility during the three months ended April 30, 2022 and borrowed $30.0 million during the three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months ended October 31, 2022. We repaid $30.0 million under the Credit Facility during the six months ended July 31, 2023. As of July 31, 2023, the Company had no amounts outstanding and no letters of credit issued under the Credit Facility and was in compliance with all covenants. See Note 11 "Revolving Credit Facility" of the notes to our unaudited condensed consolidated financial statements included in Part I, Item I of this Quarterly Report on Form 10-Q for more information.</w:t>
      </w:r>
    </w:p>
    <w:p>
      <w:pPr>
        <w:spacing w:after="0" w:line="187"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2023 and July 31, 2023, the redeemable non-controlling interest was $3.6 million and $3.0 million, respectively.</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As part of our joint venture obligations, we may be required to make an additional cash capital contribution of up to $3.0 million to nCino K.K.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Summary Cash Flow information for the six months ended July 31, 2022 and 2023 are set forth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5"/>
        </w:trPr>
        <w:tc>
          <w:tcPr>
            <w:tcW w:w="8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43,267</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20" w:firstLine="891"/>
        <w:spacing w:after="0" w:line="269" w:lineRule="auto"/>
        <w:rPr>
          <w:sz w:val="20"/>
          <w:szCs w:val="20"/>
          <w:color w:val="auto"/>
        </w:rPr>
      </w:pPr>
      <w:r>
        <w:rPr>
          <w:rFonts w:ascii="Arial" w:cs="Arial" w:eastAsia="Arial" w:hAnsi="Arial"/>
          <w:sz w:val="17"/>
          <w:szCs w:val="17"/>
          <w:color w:val="auto"/>
        </w:rPr>
        <w:t>The $43.3 million provided by operating activities in the six months ended July 31, 2023 reflects our net loss of $27.7 million, offset by $53.5 million in non-cash charges and $17.5 million generated by changes in working capital accounts. Non-cash charges primarily consisted of stock-based compensation, depreciation and amortization, amortization of costs capitalized to obtain revenue contracts, non-cash operating lease costs, provision for deferred taxes and bad debt. Cash generated by working capital accounts was principally a function of an $18.4 million decrease in accounts receivable due to the timing of billings and collections from customers, a $13.8 million increase in deferred revenue as we expanded our customer base and renewed existing customers, and a $1.1 million decrease in prepaid expenses and other assets. The cash generated by working capital accounts was partially offset by a $9.3 million decrease in accrued expenses and other current liabilities which includes payments of approximately $5.0 million for severance and other employee costs associated with the restructuring plan and changing commission payment plans from a quarterly basis to a monthly basis. Additional offsets were payments of $3.0 million of capitalized costs to obtain revenue contracts, which consisted primarily of sales commissions, a $2.0 million decrease in operating lease liabilities, and a $1.4 million decrease in accounts payable.</w:t>
      </w:r>
    </w:p>
    <w:p>
      <w:pPr>
        <w:spacing w:after="0" w:line="185"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The $10.7 million provided by operating activities in the six months ended July 31, 2022 reflects our net loss of $57.4 million, offset by $52.2 million in non-cash charges and $15.9 million generated by changes in working capital accounts.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Non-cash charges primarily consisted of stock-based compensation, depreciation and amortization, amortization of costs capitalized to obtain revenue contracts, foreign currency losses related to intercompany loans and transactions, and non-cash operating lease costs. Cash generated by working capital accounts was principally a function of a $30.3 million increase in deferred revenue, as we expanded our customer base and renewed existing customers, and a $5.4 million decrease in accounts receivable due to the timing of billings. The cash generated by working capital accounts was partially offset by a $9.7 million decrease in accrued expenses and other current liabilities, payments of $4.6 million of capitalized costs to obtain revenue contracts, which consisted primarily of sales commissions, a $2.1 million decrease in operating lease liabilities, a $1.9 million decrease in accounts payable, and a $1.7 million increase in prepaid expenses and other assets.</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right="120" w:firstLine="891"/>
        <w:spacing w:after="0" w:line="259" w:lineRule="auto"/>
        <w:rPr>
          <w:sz w:val="20"/>
          <w:szCs w:val="20"/>
          <w:color w:val="auto"/>
        </w:rPr>
      </w:pPr>
      <w:r>
        <w:rPr>
          <w:rFonts w:ascii="Arial" w:cs="Arial" w:eastAsia="Arial" w:hAnsi="Arial"/>
          <w:sz w:val="18"/>
          <w:szCs w:val="18"/>
          <w:color w:val="auto"/>
        </w:rPr>
        <w:t>The $2.8 million used in investing activities in the six months ended July 31, 2023 was comprised of $2.5 million for the purchase of property and equipment and leasehold improvements to support the expansion of our business and $0.4 million for the final cash considerations relating to an asset acquisition completed in August 2022. We used $9.3 million in investing activities in the six months ended July 31, 2022 for the purchase of property and equipment and leasehold improvements to support the expansion of our business.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right="40" w:firstLine="891"/>
        <w:spacing w:after="0" w:line="254" w:lineRule="auto"/>
        <w:rPr>
          <w:sz w:val="20"/>
          <w:szCs w:val="20"/>
          <w:color w:val="auto"/>
        </w:rPr>
      </w:pPr>
      <w:r>
        <w:rPr>
          <w:rFonts w:ascii="Arial" w:cs="Arial" w:eastAsia="Arial" w:hAnsi="Arial"/>
          <w:sz w:val="18"/>
          <w:szCs w:val="18"/>
          <w:color w:val="auto"/>
        </w:rPr>
        <w:t>The $25.7 million used in financing activities in the six months ended July 31, 2023 was comprised principally of payments of $30.0 million on the Credit Facility and principal payments of $0.6 million on financing obligations. The cash used in financing activities was partially offset by $2.7 million of proceeds from stock issuances under the employee stock purchase plan and $2.2 million of proceeds from the exercise of stock options. The $3.6 million provided by financing activities in the six months ended July 31, 2022 was comprised principally of $2.4 million of proceeds from stock issuances under the employee stock purchase plan and $1.9 million of proceeds from the exercise of stock options, partially reduced by payments of debt issuance costs of $0.4 million, and principal payments of $0.3 million on financing obligations. We borrowed and repaid $20.0 million under our revolving credit facility during the six months ended July 31,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80" w:firstLine="891"/>
        <w:spacing w:after="0" w:line="279" w:lineRule="auto"/>
        <w:rPr>
          <w:sz w:val="20"/>
          <w:szCs w:val="20"/>
          <w:color w:val="auto"/>
        </w:rPr>
      </w:pPr>
      <w:r>
        <w:rPr>
          <w:rFonts w:ascii="Arial" w:cs="Arial" w:eastAsia="Arial" w:hAnsi="Arial"/>
          <w:sz w:val="17"/>
          <w:szCs w:val="17"/>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10 "Leases," Note 11 "Revolving Credit Facility," and Note 12 "Commitments and Contingencies" of the notes to our unaudited condensed consolidated financial statements included in Part I, Item 1 of this Quarterly Report on Form 10-Q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79" w:lineRule="exact"/>
        <w:rPr>
          <w:sz w:val="20"/>
          <w:szCs w:val="20"/>
          <w:color w:val="auto"/>
        </w:rPr>
      </w:pPr>
    </w:p>
    <w:p>
      <w:pPr>
        <w:ind w:firstLine="891"/>
        <w:spacing w:after="0" w:line="246" w:lineRule="auto"/>
        <w:rPr>
          <w:sz w:val="20"/>
          <w:szCs w:val="20"/>
          <w:color w:val="auto"/>
        </w:rPr>
      </w:pPr>
      <w:r>
        <w:rPr>
          <w:rFonts w:ascii="Arial" w:cs="Arial" w:eastAsia="Arial" w:hAnsi="Arial"/>
          <w:sz w:val="18"/>
          <w:szCs w:val="18"/>
          <w:color w:val="auto"/>
        </w:rPr>
        <w:t>There have been no material changes in our critical accounting policies or estimates as compared to those disclosed in the Annual Report on Form 10-K for the fiscal year ended January 31, 2023 filed with the SEC on March 28,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20" w:firstLine="891"/>
        <w:spacing w:after="0" w:line="263" w:lineRule="auto"/>
        <w:rPr>
          <w:sz w:val="20"/>
          <w:szCs w:val="20"/>
          <w:color w:val="auto"/>
        </w:rPr>
      </w:pPr>
      <w:r>
        <w:rPr>
          <w:rFonts w:ascii="Arial" w:cs="Arial" w:eastAsia="Arial" w:hAnsi="Arial"/>
          <w:sz w:val="18"/>
          <w:szCs w:val="18"/>
          <w:color w:val="auto"/>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80" w:firstLine="89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891"/>
        <w:spacing w:after="0" w:line="257" w:lineRule="auto"/>
        <w:rPr>
          <w:sz w:val="20"/>
          <w:szCs w:val="20"/>
          <w:color w:val="auto"/>
        </w:rPr>
      </w:pPr>
      <w:r>
        <w:rPr>
          <w:rFonts w:ascii="Arial" w:cs="Arial" w:eastAsia="Arial" w:hAnsi="Arial"/>
          <w:sz w:val="18"/>
          <w:szCs w:val="18"/>
          <w:color w:val="auto"/>
        </w:rPr>
        <w:t>At July 31, 2023, we had cash, cash equivalents and restricted cash of $103.4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8" w:lineRule="exact"/>
        <w:rPr>
          <w:sz w:val="20"/>
          <w:szCs w:val="20"/>
          <w:color w:val="auto"/>
        </w:rPr>
      </w:pPr>
    </w:p>
    <w:p>
      <w:pPr>
        <w:ind w:right="140" w:firstLine="891"/>
        <w:spacing w:after="0" w:line="273" w:lineRule="auto"/>
        <w:rPr>
          <w:sz w:val="20"/>
          <w:szCs w:val="20"/>
          <w:color w:val="auto"/>
        </w:rPr>
      </w:pPr>
      <w:r>
        <w:rPr>
          <w:rFonts w:ascii="Arial" w:cs="Arial" w:eastAsia="Arial" w:hAnsi="Arial"/>
          <w:sz w:val="17"/>
          <w:szCs w:val="17"/>
          <w:color w:val="auto"/>
        </w:rPr>
        <w:t>On February 11, 2022, we entered into a senior secured revolving credit facility of up to $50.0 million. Borrowings bear interest, at the Company's option, at: (i) a base rate equal to the greater of (a) the lender’s “prime rate,” (b) the federal funds rate plus 0.50%, and (c) the BSBY rate plus 1.00%, plus a margin of 0.00% (provided that the base rate shall not be less than 0.00%); or (ii) the BSBY rate (provided that the BSBY shall not be less than 0.00%), plus a margin of 1.00%. As a result, we are exposed to increased interest rate risk as we make draws. At July 31, 2023, we had no amounts outstanding under the Credit Facility. See Note 11, "Revolving Credit Facility" of the notes to our unaudited condensed consolidated financial statements included in Part I, Item 1 of this Quarterly Report on Form 10-Q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unaudited condensed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891"/>
        <w:spacing w:after="0" w:line="290"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July 31, 2023, the last day of the period covered by this Quarterly Report on Form 10-Q. Based on this evaluation, our Chief Executive Officer and Chief Financial Officer have concluded that, at July 31, 2023,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20" w:firstLine="891"/>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225" w:lineRule="exact"/>
        <w:rPr>
          <w:sz w:val="20"/>
          <w:szCs w:val="20"/>
          <w:color w:val="auto"/>
        </w:rPr>
      </w:pPr>
    </w:p>
    <w:p>
      <w:pPr>
        <w:ind w:firstLine="891"/>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firstLine="891"/>
        <w:spacing w:after="0" w:line="263" w:lineRule="auto"/>
        <w:rPr>
          <w:sz w:val="20"/>
          <w:szCs w:val="20"/>
          <w:color w:val="auto"/>
        </w:rPr>
      </w:pPr>
      <w:r>
        <w:rPr>
          <w:rFonts w:ascii="Arial" w:cs="Arial" w:eastAsia="Arial" w:hAnsi="Arial"/>
          <w:sz w:val="18"/>
          <w:szCs w:val="18"/>
          <w:color w:val="auto"/>
        </w:rPr>
        <w:t>See Note 12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There are no material changes to the risk factors in the Company's Annual Report on Form 10-K for the fiscal year ended January 31, 2023 filed with the SEC on March 28, 2023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Trading Plans of Directors and Executive Officers</w:t>
      </w:r>
    </w:p>
    <w:p>
      <w:pPr>
        <w:spacing w:after="0" w:line="225" w:lineRule="exact"/>
        <w:rPr>
          <w:sz w:val="20"/>
          <w:szCs w:val="20"/>
          <w:color w:val="auto"/>
        </w:rPr>
      </w:pPr>
    </w:p>
    <w:p>
      <w:pPr>
        <w:ind w:right="580" w:firstLine="891"/>
        <w:spacing w:after="0" w:line="277" w:lineRule="auto"/>
        <w:rPr>
          <w:sz w:val="20"/>
          <w:szCs w:val="20"/>
          <w:color w:val="auto"/>
        </w:rPr>
      </w:pPr>
      <w:r>
        <w:rPr>
          <w:rFonts w:ascii="Arial" w:cs="Arial" w:eastAsia="Arial" w:hAnsi="Arial"/>
          <w:sz w:val="18"/>
          <w:szCs w:val="18"/>
          <w:color w:val="auto"/>
        </w:rPr>
        <w:t>During the three months ended July 31, 2023, the following Section 16 officer adopted, modified or terminated a “Rule 10b5-1 trading arrangement” as defined in Item 408 of Regulation S-K, as follows:</w:t>
      </w:r>
    </w:p>
    <w:p>
      <w:pPr>
        <w:spacing w:after="0" w:line="170" w:lineRule="exact"/>
        <w:rPr>
          <w:sz w:val="20"/>
          <w:szCs w:val="20"/>
          <w:color w:val="auto"/>
        </w:rPr>
      </w:pPr>
    </w:p>
    <w:p>
      <w:pPr>
        <w:ind w:right="100" w:firstLine="891"/>
        <w:spacing w:after="0" w:line="286" w:lineRule="auto"/>
        <w:rPr>
          <w:sz w:val="20"/>
          <w:szCs w:val="20"/>
          <w:color w:val="auto"/>
        </w:rPr>
      </w:pPr>
      <w:r>
        <w:rPr>
          <w:rFonts w:ascii="Arial" w:cs="Arial" w:eastAsia="Arial" w:hAnsi="Arial"/>
          <w:sz w:val="17"/>
          <w:szCs w:val="17"/>
          <w:color w:val="auto"/>
        </w:rPr>
        <w:t>On June 26, 2023, Pierre Naudé, Chairman and Chief Executive Officer, terminated a Rule 10b5-1 trading arrangement providing for the sale of 99,028 shares of our common stock. The trading arrangement was intended to satisfy the affirmative defense in Rule 10b5-1(c). The duration of the trading arrangement was until June 28, 2024, or earlier if all transactions under the trading arrangement had been completed.</w:t>
      </w:r>
    </w:p>
    <w:p>
      <w:pPr>
        <w:spacing w:after="0" w:line="165" w:lineRule="exact"/>
        <w:rPr>
          <w:sz w:val="20"/>
          <w:szCs w:val="20"/>
          <w:color w:val="auto"/>
        </w:rPr>
      </w:pPr>
    </w:p>
    <w:p>
      <w:pPr>
        <w:ind w:right="200" w:firstLine="891"/>
        <w:spacing w:after="0" w:line="277" w:lineRule="auto"/>
        <w:rPr>
          <w:sz w:val="20"/>
          <w:szCs w:val="20"/>
          <w:color w:val="auto"/>
        </w:rPr>
      </w:pPr>
      <w:r>
        <w:rPr>
          <w:rFonts w:ascii="Arial" w:cs="Arial" w:eastAsia="Arial" w:hAnsi="Arial"/>
          <w:sz w:val="18"/>
          <w:szCs w:val="18"/>
          <w:color w:val="auto"/>
        </w:rPr>
        <w:t>No other officers or directors, as defined in Rule 16a-1(f), adopted, modified, or terminated a “Rule 10b5-1 trading arrangement” or a “non-Rule 10b5-1 trading arrangement,” as defined in Regulation S-K Item 408, during the fiscal quarter.</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20" w:type="dxa"/>
            <w:vAlign w:val="bottom"/>
            <w:gridSpan w:val="3"/>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980" w:type="dxa"/>
            <w:vAlign w:val="bottom"/>
            <w:vMerge w:val="continue"/>
          </w:tcPr>
          <w:p>
            <w:pPr>
              <w:spacing w:after="0"/>
              <w:rPr>
                <w:sz w:val="10"/>
                <w:szCs w:val="10"/>
                <w:color w:val="auto"/>
              </w:rPr>
            </w:pPr>
          </w:p>
        </w:tc>
        <w:tc>
          <w:tcPr>
            <w:tcW w:w="4280" w:type="dxa"/>
            <w:vAlign w:val="bottom"/>
            <w:gridSpan w:val="12"/>
            <w:vMerge w:val="restart"/>
          </w:tcPr>
          <w:p>
            <w:pPr>
              <w:ind w:left="1460"/>
              <w:spacing w:after="0"/>
              <w:rPr>
                <w:sz w:val="20"/>
                <w:szCs w:val="20"/>
                <w:color w:val="auto"/>
              </w:rPr>
            </w:pPr>
            <w:r>
              <w:rPr>
                <w:rFonts w:ascii="Arial" w:cs="Arial" w:eastAsia="Arial" w:hAnsi="Arial"/>
                <w:sz w:val="14"/>
                <w:szCs w:val="14"/>
                <w:b w:val="1"/>
                <w:bCs w:val="1"/>
                <w:color w:val="auto"/>
              </w:rPr>
              <w:t>Description of Exhibit</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280" w:type="dxa"/>
            <w:vAlign w:val="bottom"/>
            <w:tcBorders>
              <w:bottom w:val="single" w:sz="8" w:color="auto"/>
            </w:tcBorders>
            <w:gridSpan w:val="1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3720" w:type="dxa"/>
            <w:vAlign w:val="bottom"/>
            <w:tcBorders>
              <w:bottom w:val="single" w:sz="8" w:color="0000FF"/>
            </w:tcBorders>
            <w:gridSpan w:val="5"/>
          </w:tcPr>
          <w:p>
            <w:pPr>
              <w:spacing w:after="0" w:line="189"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Amended and Restated Certificate of Incorporation</w:t>
              </w:r>
            </w:hyperlink>
          </w:p>
        </w:tc>
        <w:tc>
          <w:tcPr>
            <w:tcW w:w="560" w:type="dxa"/>
            <w:vAlign w:val="bottom"/>
            <w:gridSpan w:val="7"/>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6"/>
              </w:rPr>
              <w:t>8-K12B</w:t>
            </w:r>
          </w:p>
        </w:tc>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88"/>
              </w:rPr>
              <w:t>001-41211</w:t>
            </w: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880" w:type="dxa"/>
            <w:vAlign w:val="bottom"/>
          </w:tcPr>
          <w:p>
            <w:pPr>
              <w:jc w:val="center"/>
              <w:spacing w:after="0" w:line="189" w:lineRule="exact"/>
              <w:rPr>
                <w:sz w:val="20"/>
                <w:szCs w:val="20"/>
                <w:color w:val="auto"/>
              </w:rPr>
            </w:pPr>
            <w:r>
              <w:rPr>
                <w:rFonts w:ascii="Arial" w:cs="Arial" w:eastAsia="Arial" w:hAnsi="Arial"/>
                <w:sz w:val="18"/>
                <w:szCs w:val="18"/>
                <w:color w:val="auto"/>
                <w:w w:val="87"/>
              </w:rPr>
              <w:t>January 10, 2022</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3.2</w:t>
            </w:r>
          </w:p>
        </w:tc>
        <w:tc>
          <w:tcPr>
            <w:tcW w:w="2260" w:type="dxa"/>
            <w:vAlign w:val="bottom"/>
            <w:tcBorders>
              <w:bottom w:val="single" w:sz="8" w:color="0000FF"/>
            </w:tcBorders>
          </w:tcPr>
          <w:p>
            <w:pPr>
              <w:spacing w:after="0"/>
              <w:rPr>
                <w:rFonts w:ascii="Arial" w:cs="Arial" w:eastAsia="Arial" w:hAnsi="Arial"/>
                <w:sz w:val="18"/>
                <w:szCs w:val="18"/>
                <w:color w:val="0000FF"/>
                <w:w w:val="89"/>
              </w:rPr>
            </w:pPr>
            <w:hyperlink r:id="rId80">
              <w:r>
                <w:rPr>
                  <w:rFonts w:ascii="Arial" w:cs="Arial" w:eastAsia="Arial" w:hAnsi="Arial"/>
                  <w:sz w:val="18"/>
                  <w:szCs w:val="18"/>
                  <w:color w:val="0000FF"/>
                  <w:w w:val="89"/>
                </w:rPr>
                <w:t>Amended and Restated Bylaws</w:t>
              </w:r>
            </w:hyperlink>
          </w:p>
        </w:tc>
        <w:tc>
          <w:tcPr>
            <w:tcW w:w="2020" w:type="dxa"/>
            <w:vAlign w:val="bottom"/>
            <w:gridSpan w:val="11"/>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001-41211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November 29, 2022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31.1</w:t>
            </w:r>
          </w:p>
        </w:tc>
        <w:tc>
          <w:tcPr>
            <w:tcW w:w="4280" w:type="dxa"/>
            <w:vAlign w:val="bottom"/>
            <w:gridSpan w:val="12"/>
          </w:tcPr>
          <w:p>
            <w:pPr>
              <w:spacing w:after="0"/>
              <w:rPr>
                <w:sz w:val="20"/>
                <w:szCs w:val="20"/>
                <w:color w:val="auto"/>
              </w:rPr>
            </w:pPr>
            <w:r>
              <w:rPr>
                <w:rFonts w:ascii="Arial" w:cs="Arial" w:eastAsia="Arial" w:hAnsi="Arial"/>
                <w:sz w:val="18"/>
                <w:szCs w:val="18"/>
                <w:color w:val="0000FF"/>
                <w:w w:val="99"/>
              </w:rPr>
              <w:t>Certification of Principal Executive Officer Pursuant to</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Rules 13a-14(a) and 15d-14(a) under the Securities</w:t>
            </w:r>
          </w:p>
        </w:tc>
        <w:tc>
          <w:tcPr>
            <w:tcW w:w="28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2"/>
          </w:tcPr>
          <w:p>
            <w:pPr>
              <w:spacing w:after="0" w:line="169" w:lineRule="exact"/>
              <w:rPr>
                <w:sz w:val="20"/>
                <w:szCs w:val="20"/>
                <w:color w:val="auto"/>
              </w:rPr>
            </w:pPr>
            <w:r>
              <w:rPr>
                <w:rFonts w:ascii="Arial" w:cs="Arial" w:eastAsia="Arial" w:hAnsi="Arial"/>
                <w:sz w:val="18"/>
                <w:szCs w:val="18"/>
                <w:color w:val="0000FF"/>
                <w:w w:val="96"/>
              </w:rPr>
              <w:t>Exchange Act of 1934, as Adopted Pursuant to Section</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302 of the Sarbanes-Oxley Act of 2002.</w:t>
            </w:r>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31.2</w:t>
            </w:r>
          </w:p>
        </w:tc>
        <w:tc>
          <w:tcPr>
            <w:tcW w:w="42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Rules 13a-14(a) and 15d-14(a) under the Securities</w:t>
            </w:r>
          </w:p>
        </w:tc>
        <w:tc>
          <w:tcPr>
            <w:tcW w:w="240" w:type="dxa"/>
            <w:vAlign w:val="bottom"/>
            <w:tcBorders>
              <w:top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2"/>
          </w:tcPr>
          <w:p>
            <w:pPr>
              <w:spacing w:after="0" w:line="169" w:lineRule="exact"/>
              <w:rPr>
                <w:sz w:val="20"/>
                <w:szCs w:val="20"/>
                <w:color w:val="auto"/>
              </w:rPr>
            </w:pPr>
            <w:r>
              <w:rPr>
                <w:rFonts w:ascii="Arial" w:cs="Arial" w:eastAsia="Arial" w:hAnsi="Arial"/>
                <w:sz w:val="18"/>
                <w:szCs w:val="18"/>
                <w:color w:val="0000FF"/>
                <w:w w:val="96"/>
              </w:rPr>
              <w:t>Exchange Act of 1934, as Adopted Pursuant to Section</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302 of the Sarbanes-Oxley Act of 2002.</w:t>
            </w:r>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32.1*</w:t>
            </w:r>
          </w:p>
        </w:tc>
        <w:tc>
          <w:tcPr>
            <w:tcW w:w="4280" w:type="dxa"/>
            <w:vAlign w:val="bottom"/>
            <w:gridSpan w:val="12"/>
          </w:tcPr>
          <w:p>
            <w:pPr>
              <w:spacing w:after="0"/>
              <w:rPr>
                <w:sz w:val="20"/>
                <w:szCs w:val="20"/>
                <w:color w:val="auto"/>
              </w:rPr>
            </w:pPr>
            <w:r>
              <w:rPr>
                <w:rFonts w:ascii="Arial" w:cs="Arial" w:eastAsia="Arial" w:hAnsi="Arial"/>
                <w:sz w:val="18"/>
                <w:szCs w:val="18"/>
                <w:color w:val="0000FF"/>
                <w:w w:val="94"/>
              </w:rPr>
              <w:t>Certification of Principal Executive Officer Pursuant to 18</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1"/>
              </w:rPr>
              <w:t>U.S.C. Section 1350, as Adopted Pursuant to Section 906</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rPr>
              <w:t>of the Sarbanes-Oxley Act of 2002.</w:t>
            </w: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32.2*</w:t>
            </w:r>
          </w:p>
        </w:tc>
        <w:tc>
          <w:tcPr>
            <w:tcW w:w="4280" w:type="dxa"/>
            <w:vAlign w:val="bottom"/>
            <w:gridSpan w:val="12"/>
          </w:tcPr>
          <w:p>
            <w:pPr>
              <w:spacing w:after="0"/>
              <w:rPr>
                <w:sz w:val="20"/>
                <w:szCs w:val="20"/>
                <w:color w:val="auto"/>
              </w:rPr>
            </w:pPr>
            <w:r>
              <w:rPr>
                <w:rFonts w:ascii="Arial" w:cs="Arial" w:eastAsia="Arial" w:hAnsi="Arial"/>
                <w:sz w:val="18"/>
                <w:szCs w:val="18"/>
                <w:color w:val="0000FF"/>
                <w:w w:val="95"/>
              </w:rPr>
              <w:t>Certification of Principal Financial Officer Pursuant to 18</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6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89"/>
              </w:rPr>
              <w:t>U.S.C. Section 1350, as Adopted Pursuant to Section 906</w:t>
            </w:r>
          </w:p>
        </w:tc>
        <w:tc>
          <w:tcPr>
            <w:tcW w:w="1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rPr>
              <w:t>of the Sarbanes-Oxley Act of 2002.</w:t>
            </w:r>
          </w:p>
        </w:tc>
        <w:tc>
          <w:tcPr>
            <w:tcW w:w="14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980" w:type="dxa"/>
            <w:vAlign w:val="bottom"/>
          </w:tcPr>
          <w:p>
            <w:pPr>
              <w:ind w:left="40"/>
              <w:spacing w:after="0"/>
              <w:rPr>
                <w:sz w:val="20"/>
                <w:szCs w:val="20"/>
                <w:color w:val="auto"/>
              </w:rPr>
            </w:pPr>
            <w:r>
              <w:rPr>
                <w:rFonts w:ascii="Arial" w:cs="Arial" w:eastAsia="Arial" w:hAnsi="Arial"/>
                <w:sz w:val="18"/>
                <w:szCs w:val="18"/>
                <w:color w:val="auto"/>
              </w:rPr>
              <w:t>101.INS</w:t>
            </w:r>
          </w:p>
        </w:tc>
        <w:tc>
          <w:tcPr>
            <w:tcW w:w="25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1720" w:type="dxa"/>
            <w:vAlign w:val="bottom"/>
            <w:gridSpan w:val="10"/>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101.SCH</w:t>
            </w:r>
          </w:p>
        </w:tc>
        <w:tc>
          <w:tcPr>
            <w:tcW w:w="428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101.CAL</w:t>
            </w:r>
          </w:p>
        </w:tc>
        <w:tc>
          <w:tcPr>
            <w:tcW w:w="4280" w:type="dxa"/>
            <w:vAlign w:val="bottom"/>
            <w:gridSpan w:val="12"/>
          </w:tcPr>
          <w:p>
            <w:pPr>
              <w:spacing w:after="0" w:line="176" w:lineRule="exact"/>
              <w:rPr>
                <w:sz w:val="20"/>
                <w:szCs w:val="20"/>
                <w:color w:val="auto"/>
              </w:rPr>
            </w:pPr>
            <w:r>
              <w:rPr>
                <w:rFonts w:ascii="Arial" w:cs="Arial" w:eastAsia="Arial" w:hAnsi="Arial"/>
                <w:sz w:val="18"/>
                <w:szCs w:val="18"/>
                <w:color w:val="auto"/>
              </w:rPr>
              <w:t>XBRL Taxonomy Extension Calculation Linkbase</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2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40"/>
              <w:spacing w:after="0" w:line="189" w:lineRule="exact"/>
              <w:rPr>
                <w:sz w:val="20"/>
                <w:szCs w:val="20"/>
                <w:color w:val="auto"/>
              </w:rPr>
            </w:pPr>
            <w:r>
              <w:rPr>
                <w:rFonts w:ascii="Arial" w:cs="Arial" w:eastAsia="Arial" w:hAnsi="Arial"/>
                <w:sz w:val="18"/>
                <w:szCs w:val="18"/>
                <w:color w:val="auto"/>
              </w:rPr>
              <w:t>101.DEF</w:t>
            </w:r>
          </w:p>
        </w:tc>
        <w:tc>
          <w:tcPr>
            <w:tcW w:w="4280" w:type="dxa"/>
            <w:vAlign w:val="bottom"/>
            <w:gridSpan w:val="12"/>
          </w:tcPr>
          <w:p>
            <w:pPr>
              <w:spacing w:after="0" w:line="189" w:lineRule="exact"/>
              <w:rPr>
                <w:sz w:val="20"/>
                <w:szCs w:val="20"/>
                <w:color w:val="auto"/>
              </w:rPr>
            </w:pPr>
            <w:r>
              <w:rPr>
                <w:rFonts w:ascii="Arial" w:cs="Arial" w:eastAsia="Arial" w:hAnsi="Arial"/>
                <w:sz w:val="18"/>
                <w:szCs w:val="18"/>
                <w:color w:val="auto"/>
              </w:rPr>
              <w:t>XBRL Taxonomy Extension Definition Linkbase</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2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80" w:type="dxa"/>
            <w:vAlign w:val="bottom"/>
          </w:tcPr>
          <w:p>
            <w:pPr>
              <w:ind w:left="40"/>
              <w:spacing w:after="0"/>
              <w:rPr>
                <w:sz w:val="20"/>
                <w:szCs w:val="20"/>
                <w:color w:val="auto"/>
              </w:rPr>
            </w:pPr>
            <w:r>
              <w:rPr>
                <w:rFonts w:ascii="Arial" w:cs="Arial" w:eastAsia="Arial" w:hAnsi="Arial"/>
                <w:sz w:val="18"/>
                <w:szCs w:val="18"/>
                <w:color w:val="auto"/>
              </w:rPr>
              <w:t>101.LAB</w:t>
            </w:r>
          </w:p>
        </w:tc>
        <w:tc>
          <w:tcPr>
            <w:tcW w:w="4280" w:type="dxa"/>
            <w:vAlign w:val="bottom"/>
            <w:gridSpan w:val="12"/>
          </w:tcPr>
          <w:p>
            <w:pPr>
              <w:spacing w:after="0"/>
              <w:rPr>
                <w:sz w:val="20"/>
                <w:szCs w:val="20"/>
                <w:color w:val="auto"/>
              </w:rPr>
            </w:pPr>
            <w:r>
              <w:rPr>
                <w:rFonts w:ascii="Arial" w:cs="Arial" w:eastAsia="Arial" w:hAnsi="Arial"/>
                <w:sz w:val="18"/>
                <w:szCs w:val="18"/>
                <w:color w:val="auto"/>
                <w:w w:val="98"/>
              </w:rPr>
              <w:t>XBRL Taxonomy Extension Label Linkbase 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101.PRE</w:t>
            </w:r>
          </w:p>
        </w:tc>
        <w:tc>
          <w:tcPr>
            <w:tcW w:w="4280" w:type="dxa"/>
            <w:vAlign w:val="bottom"/>
            <w:gridSpan w:val="12"/>
          </w:tcPr>
          <w:p>
            <w:pPr>
              <w:spacing w:after="0" w:line="176" w:lineRule="exact"/>
              <w:rPr>
                <w:sz w:val="20"/>
                <w:szCs w:val="20"/>
                <w:color w:val="auto"/>
              </w:rPr>
            </w:pPr>
            <w:r>
              <w:rPr>
                <w:rFonts w:ascii="Arial" w:cs="Arial" w:eastAsia="Arial" w:hAnsi="Arial"/>
                <w:sz w:val="18"/>
                <w:szCs w:val="18"/>
                <w:color w:val="auto"/>
              </w:rPr>
              <w:t>XBRL Taxonomy Extension Presentation Linkbase</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2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4280" w:type="dxa"/>
            <w:vAlign w:val="bottom"/>
            <w:gridSpan w:val="12"/>
          </w:tcPr>
          <w:p>
            <w:pPr>
              <w:spacing w:after="0" w:line="189" w:lineRule="exact"/>
              <w:rPr>
                <w:sz w:val="20"/>
                <w:szCs w:val="20"/>
                <w:color w:val="auto"/>
              </w:rPr>
            </w:pPr>
            <w:r>
              <w:rPr>
                <w:rFonts w:ascii="Arial" w:cs="Arial" w:eastAsia="Arial" w:hAnsi="Arial"/>
                <w:sz w:val="18"/>
                <w:szCs w:val="18"/>
                <w:color w:val="auto"/>
                <w:w w:val="97"/>
              </w:rPr>
              <w:t>Cover Page Interactive Data File (embedded within the</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28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980" w:right="300" w:hanging="954"/>
        <w:spacing w:after="0" w:line="22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891"/>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2"/>
          </w:tcPr>
          <w:p>
            <w:pPr>
              <w:ind w:left="2740"/>
              <w:spacing w:after="0"/>
              <w:rPr>
                <w:sz w:val="20"/>
                <w:szCs w:val="20"/>
                <w:color w:val="auto"/>
              </w:rPr>
            </w:pPr>
            <w:r>
              <w:rPr>
                <w:rFonts w:ascii="Arial" w:cs="Arial" w:eastAsia="Arial" w:hAnsi="Arial"/>
                <w:sz w:val="18"/>
                <w:szCs w:val="18"/>
                <w:b w:val="1"/>
                <w:bCs w:val="1"/>
                <w:color w:val="auto"/>
              </w:rPr>
              <w:t>nCino, Inc.</w:t>
            </w:r>
          </w:p>
        </w:tc>
      </w:tr>
      <w:tr>
        <w:trPr>
          <w:trHeight w:val="392"/>
        </w:trPr>
        <w:tc>
          <w:tcPr>
            <w:tcW w:w="3580" w:type="dxa"/>
            <w:vAlign w:val="bottom"/>
          </w:tcPr>
          <w:p>
            <w:pPr>
              <w:spacing w:after="0"/>
              <w:rPr>
                <w:sz w:val="20"/>
                <w:szCs w:val="20"/>
                <w:color w:val="auto"/>
              </w:rPr>
            </w:pPr>
            <w:r>
              <w:rPr>
                <w:rFonts w:ascii="Arial" w:cs="Arial" w:eastAsia="Arial" w:hAnsi="Arial"/>
                <w:sz w:val="18"/>
                <w:szCs w:val="18"/>
                <w:color w:val="auto"/>
              </w:rPr>
              <w:t>Date: August 29, 2023</w:t>
            </w:r>
          </w:p>
        </w:tc>
        <w:tc>
          <w:tcPr>
            <w:tcW w:w="3260" w:type="dxa"/>
            <w:vAlign w:val="bottom"/>
          </w:tcPr>
          <w:p>
            <w:pPr>
              <w:ind w:left="27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Pierre Naudé</w:t>
            </w:r>
          </w:p>
        </w:tc>
      </w:tr>
      <w:tr>
        <w:trPr>
          <w:trHeight w:val="222"/>
        </w:trPr>
        <w:tc>
          <w:tcPr>
            <w:tcW w:w="3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Pierre Naudé</w:t>
            </w:r>
          </w:p>
        </w:tc>
      </w:tr>
      <w:tr>
        <w:trPr>
          <w:trHeight w:val="230"/>
        </w:trPr>
        <w:tc>
          <w:tcPr>
            <w:tcW w:w="3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Date: August 29, 2023</w:t>
            </w:r>
          </w:p>
        </w:tc>
        <w:tc>
          <w:tcPr>
            <w:tcW w:w="3260" w:type="dxa"/>
            <w:vAlign w:val="bottom"/>
          </w:tcPr>
          <w:p>
            <w:pPr>
              <w:ind w:left="274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D. Orenstein</w:t>
            </w:r>
          </w:p>
        </w:tc>
      </w:tr>
      <w:tr>
        <w:trPr>
          <w:trHeight w:val="222"/>
        </w:trPr>
        <w:tc>
          <w:tcPr>
            <w:tcW w:w="3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Gregory D. Orenstein</w:t>
            </w:r>
          </w:p>
        </w:tc>
      </w:tr>
      <w:tr>
        <w:trPr>
          <w:trHeight w:val="229"/>
        </w:trPr>
        <w:tc>
          <w:tcPr>
            <w:tcW w:w="3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Chief Financial Officer &amp; Treasurer</w:t>
            </w:r>
          </w:p>
        </w:tc>
      </w:tr>
      <w:tr>
        <w:trPr>
          <w:trHeight w:val="230"/>
        </w:trPr>
        <w:tc>
          <w:tcPr>
            <w:tcW w:w="3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04"/>
        </w:trPr>
        <w:tc>
          <w:tcPr>
            <w:tcW w:w="3580" w:type="dxa"/>
            <w:vAlign w:val="bottom"/>
          </w:tcPr>
          <w:p>
            <w:pPr>
              <w:spacing w:after="0"/>
              <w:rPr>
                <w:sz w:val="24"/>
                <w:szCs w:val="24"/>
                <w:color w:val="auto"/>
              </w:rPr>
            </w:pPr>
          </w:p>
        </w:tc>
        <w:tc>
          <w:tcPr>
            <w:tcW w:w="3260" w:type="dxa"/>
            <w:vAlign w:val="bottom"/>
          </w:tcPr>
          <w:p>
            <w:pPr>
              <w:jc w:val="right"/>
              <w:ind w:right="1050"/>
              <w:spacing w:after="0"/>
              <w:rPr>
                <w:sz w:val="20"/>
                <w:szCs w:val="20"/>
                <w:color w:val="auto"/>
              </w:rPr>
            </w:pPr>
            <w:r>
              <w:rPr>
                <w:rFonts w:ascii="Arial" w:cs="Arial" w:eastAsia="Arial" w:hAnsi="Arial"/>
                <w:sz w:val="18"/>
                <w:szCs w:val="18"/>
                <w:color w:val="auto"/>
              </w:rPr>
              <w:t>39</w:t>
            </w:r>
          </w:p>
        </w:tc>
        <w:tc>
          <w:tcPr>
            <w:tcW w:w="438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spacing w:after="0" w:line="4"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Pierre Naudé, certify that:</w:t>
      </w:r>
    </w:p>
    <w:p>
      <w:pPr>
        <w:spacing w:after="0" w:line="256"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56" w:lineRule="exact"/>
        <w:rPr>
          <w:rFonts w:ascii="Arial" w:cs="Arial" w:eastAsia="Arial" w:hAnsi="Arial"/>
          <w:sz w:val="20"/>
          <w:szCs w:val="20"/>
          <w:color w:val="auto"/>
        </w:rPr>
      </w:pPr>
    </w:p>
    <w:p>
      <w:pPr>
        <w:ind w:left="660" w:right="40" w:hanging="652"/>
        <w:spacing w:after="0" w:line="25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660" w:right="20" w:hanging="652"/>
        <w:spacing w:after="0" w:line="264"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left="660" w:right="220" w:hanging="652"/>
        <w:spacing w:after="0" w:line="25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Arial" w:cs="Arial" w:eastAsia="Arial" w:hAnsi="Arial"/>
          <w:sz w:val="20"/>
          <w:szCs w:val="20"/>
          <w:color w:val="auto"/>
        </w:rPr>
      </w:pPr>
    </w:p>
    <w:p>
      <w:pPr>
        <w:ind w:left="1300" w:right="100" w:hanging="644"/>
        <w:spacing w:after="0" w:line="299"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1300" w:right="560" w:hanging="644"/>
        <w:spacing w:after="0" w:line="351" w:lineRule="auto"/>
        <w:tabs>
          <w:tab w:leader="none" w:pos="1288"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6"/>
          <w:szCs w:val="16"/>
          <w:color w:val="auto"/>
        </w:rPr>
      </w:pPr>
    </w:p>
    <w:p>
      <w:pPr>
        <w:jc w:val="both"/>
        <w:ind w:left="1300" w:right="80" w:hanging="644"/>
        <w:spacing w:after="0" w:line="257" w:lineRule="auto"/>
        <w:tabs>
          <w:tab w:leader="none" w:pos="1290" w:val="left"/>
        </w:tabs>
        <w:numPr>
          <w:ilvl w:val="1"/>
          <w:numId w:val="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9" w:lineRule="exact"/>
        <w:rPr>
          <w:rFonts w:ascii="Arial" w:cs="Arial" w:eastAsia="Arial" w:hAnsi="Arial"/>
          <w:sz w:val="20"/>
          <w:szCs w:val="20"/>
          <w:color w:val="auto"/>
        </w:rPr>
      </w:pPr>
    </w:p>
    <w:p>
      <w:pPr>
        <w:ind w:left="1300" w:right="120" w:hanging="644"/>
        <w:spacing w:after="0" w:line="299" w:lineRule="auto"/>
        <w:tabs>
          <w:tab w:leader="none" w:pos="128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13" w:right="339" w:bottom="1440" w:gutter="0" w:footer="0" w:header="0"/>
        </w:sectPr>
      </w:pPr>
    </w:p>
    <w:bookmarkStart w:id="43" w:name="page44"/>
    <w:bookmarkEnd w:id="43"/>
    <w:p>
      <w:pPr>
        <w:ind w:left="652" w:hanging="652"/>
        <w:spacing w:after="0" w:line="257" w:lineRule="auto"/>
        <w:tabs>
          <w:tab w:leader="none" w:pos="652"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9" w:lineRule="exact"/>
        <w:rPr>
          <w:rFonts w:ascii="Arial" w:cs="Arial" w:eastAsia="Arial" w:hAnsi="Arial"/>
          <w:sz w:val="20"/>
          <w:szCs w:val="20"/>
          <w:color w:val="auto"/>
        </w:rPr>
      </w:pPr>
    </w:p>
    <w:p>
      <w:pPr>
        <w:ind w:left="1292" w:right="260" w:hanging="644"/>
        <w:spacing w:after="0" w:line="257" w:lineRule="auto"/>
        <w:tabs>
          <w:tab w:leader="none" w:pos="1282" w:val="left"/>
        </w:tabs>
        <w:numPr>
          <w:ilvl w:val="1"/>
          <w:numId w:val="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6" w:lineRule="exact"/>
        <w:rPr>
          <w:rFonts w:ascii="Arial" w:cs="Arial" w:eastAsia="Arial" w:hAnsi="Arial"/>
          <w:sz w:val="20"/>
          <w:szCs w:val="20"/>
          <w:color w:val="auto"/>
        </w:rPr>
      </w:pPr>
    </w:p>
    <w:p>
      <w:pPr>
        <w:ind w:left="1292" w:right="680" w:hanging="644"/>
        <w:spacing w:after="0" w:line="238" w:lineRule="auto"/>
        <w:tabs>
          <w:tab w:leader="none" w:pos="1287" w:val="left"/>
        </w:tabs>
        <w:numPr>
          <w:ilvl w:val="1"/>
          <w:numId w:val="9"/>
        </w:numPr>
        <w:rPr>
          <w:rFonts w:ascii="Arial" w:cs="Arial" w:eastAsia="Arial" w:hAnsi="Arial"/>
          <w:sz w:val="22"/>
          <w:szCs w:val="22"/>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12"/>
        <w:spacing w:after="0"/>
        <w:tabs>
          <w:tab w:leader="none" w:pos="5312" w:val="left"/>
          <w:tab w:leader="none" w:pos="7772" w:val="left"/>
        </w:tabs>
        <w:rPr>
          <w:sz w:val="20"/>
          <w:szCs w:val="20"/>
          <w:color w:val="auto"/>
        </w:rPr>
      </w:pPr>
      <w:r>
        <w:rPr>
          <w:rFonts w:ascii="Arial" w:cs="Arial" w:eastAsia="Arial" w:hAnsi="Arial"/>
          <w:sz w:val="20"/>
          <w:szCs w:val="20"/>
          <w:color w:val="auto"/>
        </w:rPr>
        <w:t>Date: August 29, 2023</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44450</wp:posOffset>
            </wp:positionV>
            <wp:extent cx="33261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83" w:lineRule="exact"/>
        <w:rPr>
          <w:sz w:val="20"/>
          <w:szCs w:val="20"/>
          <w:color w:val="auto"/>
        </w:rPr>
      </w:pPr>
    </w:p>
    <w:p>
      <w:pPr>
        <w:jc w:val="center"/>
        <w:ind w:left="5740"/>
        <w:spacing w:after="0"/>
        <w:rPr>
          <w:sz w:val="20"/>
          <w:szCs w:val="20"/>
          <w:color w:val="auto"/>
        </w:rPr>
      </w:pPr>
      <w:r>
        <w:rPr>
          <w:rFonts w:ascii="Arial" w:cs="Arial" w:eastAsia="Arial" w:hAnsi="Arial"/>
          <w:sz w:val="22"/>
          <w:szCs w:val="22"/>
          <w:color w:val="auto"/>
        </w:rPr>
        <w:t>Pierre Naudé</w:t>
      </w:r>
    </w:p>
    <w:p>
      <w:pPr>
        <w:spacing w:after="0" w:line="58" w:lineRule="exact"/>
        <w:rPr>
          <w:sz w:val="20"/>
          <w:szCs w:val="20"/>
          <w:color w:val="auto"/>
        </w:rPr>
      </w:pPr>
    </w:p>
    <w:p>
      <w:pPr>
        <w:jc w:val="center"/>
        <w:ind w:left="5740"/>
        <w:spacing w:after="0"/>
        <w:rPr>
          <w:sz w:val="20"/>
          <w:szCs w:val="20"/>
          <w:color w:val="auto"/>
        </w:rPr>
      </w:pPr>
      <w:r>
        <w:rPr>
          <w:rFonts w:ascii="Arial" w:cs="Arial" w:eastAsia="Arial" w:hAnsi="Arial"/>
          <w:sz w:val="22"/>
          <w:szCs w:val="22"/>
          <w:color w:val="auto"/>
        </w:rPr>
        <w:t>Chairman and Chief Executive Officer</w:t>
      </w:r>
    </w:p>
    <w:p>
      <w:pPr>
        <w:sectPr>
          <w:pgSz w:w="11900" w:h="16838" w:orient="portrait"/>
          <w:cols w:equalWidth="0" w:num="1">
            <w:col w:w="11152"/>
          </w:cols>
          <w:pgMar w:left="328" w:top="1419" w:right="41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spacing w:after="0" w:line="4"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Gregory D. Orenstein, certify that:</w:t>
      </w:r>
    </w:p>
    <w:p>
      <w:pPr>
        <w:spacing w:after="0" w:line="256"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56" w:lineRule="exact"/>
        <w:rPr>
          <w:rFonts w:ascii="Arial" w:cs="Arial" w:eastAsia="Arial" w:hAnsi="Arial"/>
          <w:sz w:val="20"/>
          <w:szCs w:val="20"/>
          <w:color w:val="auto"/>
        </w:rPr>
      </w:pPr>
    </w:p>
    <w:p>
      <w:pPr>
        <w:ind w:left="660" w:right="40" w:hanging="652"/>
        <w:spacing w:after="0" w:line="257"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660" w:right="20" w:hanging="652"/>
        <w:spacing w:after="0" w:line="264"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left="660" w:right="220" w:hanging="652"/>
        <w:spacing w:after="0" w:line="257"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Arial" w:cs="Arial" w:eastAsia="Arial" w:hAnsi="Arial"/>
          <w:sz w:val="20"/>
          <w:szCs w:val="20"/>
          <w:color w:val="auto"/>
        </w:rPr>
      </w:pPr>
    </w:p>
    <w:p>
      <w:pPr>
        <w:ind w:left="1300" w:right="100" w:hanging="644"/>
        <w:spacing w:after="0" w:line="299"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1300" w:right="560" w:hanging="644"/>
        <w:spacing w:after="0" w:line="351" w:lineRule="auto"/>
        <w:tabs>
          <w:tab w:leader="none" w:pos="12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1300" w:right="80" w:hanging="644"/>
        <w:spacing w:after="0" w:line="264" w:lineRule="auto"/>
        <w:tabs>
          <w:tab w:leader="none" w:pos="1290" w:val="left"/>
        </w:tabs>
        <w:numPr>
          <w:ilvl w:val="1"/>
          <w:numId w:val="1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300" w:right="120" w:hanging="644"/>
        <w:spacing w:after="0" w:line="299"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13" w:right="339" w:bottom="1440" w:gutter="0" w:footer="0" w:header="0"/>
        </w:sectPr>
      </w:pPr>
    </w:p>
    <w:bookmarkStart w:id="45" w:name="page46"/>
    <w:bookmarkEnd w:id="45"/>
    <w:p>
      <w:pPr>
        <w:ind w:left="652" w:right="80" w:hanging="652"/>
        <w:spacing w:after="0" w:line="257" w:lineRule="auto"/>
        <w:tabs>
          <w:tab w:leader="none" w:pos="652"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9" w:lineRule="exact"/>
        <w:rPr>
          <w:rFonts w:ascii="Arial" w:cs="Arial" w:eastAsia="Arial" w:hAnsi="Arial"/>
          <w:sz w:val="20"/>
          <w:szCs w:val="20"/>
          <w:color w:val="auto"/>
        </w:rPr>
      </w:pPr>
    </w:p>
    <w:p>
      <w:pPr>
        <w:ind w:left="1292" w:right="340" w:hanging="644"/>
        <w:spacing w:after="0" w:line="257" w:lineRule="auto"/>
        <w:tabs>
          <w:tab w:leader="none" w:pos="1282" w:val="left"/>
        </w:tabs>
        <w:numPr>
          <w:ilvl w:val="1"/>
          <w:numId w:val="1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20"/>
          <w:szCs w:val="20"/>
          <w:color w:val="auto"/>
        </w:rPr>
      </w:pPr>
    </w:p>
    <w:p>
      <w:pPr>
        <w:ind w:left="1292" w:right="760" w:hanging="644"/>
        <w:spacing w:after="0" w:line="260" w:lineRule="auto"/>
        <w:tabs>
          <w:tab w:leader="none" w:pos="12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2" w:type="dxa"/>
        <w:tblCellMar>
          <w:top w:w="0" w:type="dxa"/>
          <w:left w:w="0" w:type="dxa"/>
          <w:bottom w:w="0" w:type="dxa"/>
          <w:right w:w="0" w:type="dxa"/>
        </w:tblCellMar>
      </w:tblPr>
      <w:tr>
        <w:trPr>
          <w:trHeight w:val="255"/>
        </w:trPr>
        <w:tc>
          <w:tcPr>
            <w:tcW w:w="3560" w:type="dxa"/>
            <w:vAlign w:val="bottom"/>
          </w:tcPr>
          <w:p>
            <w:pPr>
              <w:spacing w:after="0"/>
              <w:rPr>
                <w:sz w:val="20"/>
                <w:szCs w:val="20"/>
                <w:color w:val="auto"/>
              </w:rPr>
            </w:pPr>
            <w:r>
              <w:rPr>
                <w:rFonts w:ascii="Arial" w:cs="Arial" w:eastAsia="Arial" w:hAnsi="Arial"/>
                <w:sz w:val="20"/>
                <w:szCs w:val="20"/>
                <w:color w:val="auto"/>
              </w:rPr>
              <w:t>Date: August 29, 2023</w:t>
            </w:r>
          </w:p>
        </w:tc>
        <w:tc>
          <w:tcPr>
            <w:tcW w:w="2320" w:type="dxa"/>
            <w:vAlign w:val="bottom"/>
          </w:tcPr>
          <w:p>
            <w:pPr>
              <w:ind w:left="1760"/>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Gregory D. Orenstein</w:t>
            </w:r>
          </w:p>
        </w:tc>
      </w:tr>
      <w:tr>
        <w:trPr>
          <w:trHeight w:val="249"/>
        </w:trPr>
        <w:tc>
          <w:tcPr>
            <w:tcW w:w="35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Arial" w:cs="Arial" w:eastAsia="Arial" w:hAnsi="Arial"/>
                <w:sz w:val="20"/>
                <w:szCs w:val="20"/>
                <w:color w:val="auto"/>
                <w:w w:val="90"/>
              </w:rPr>
              <w:t>Gregory D. Orenstein</w:t>
            </w:r>
          </w:p>
        </w:tc>
      </w:tr>
      <w:tr>
        <w:trPr>
          <w:trHeight w:val="253"/>
        </w:trPr>
        <w:tc>
          <w:tcPr>
            <w:tcW w:w="35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Arial" w:cs="Arial" w:eastAsia="Arial" w:hAnsi="Arial"/>
                <w:sz w:val="20"/>
                <w:szCs w:val="20"/>
                <w:color w:val="auto"/>
                <w:w w:val="92"/>
              </w:rPr>
              <w:t>Chief Financial Officer &amp; Treasurer</w:t>
            </w:r>
          </w:p>
        </w:tc>
      </w:tr>
    </w:tbl>
    <w:p>
      <w:pPr>
        <w:sectPr>
          <w:pgSz w:w="11900" w:h="16838" w:orient="portrait"/>
          <w:cols w:equalWidth="0" w:num="1">
            <w:col w:w="11232"/>
          </w:cols>
          <w:pgMar w:left="328" w:top="141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6"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100" w:firstLine="516"/>
        <w:spacing w:after="0" w:line="257"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July 31, 2023 as filed with the Securities and Exchange Commission on the date hereof (the “Report”), I certify, pursuant to 18 U.S.C. § 1350, as adopted pursuant to § 906 of the Sarbanes-Oxley Act of 2002, that, to my knowledge:</w:t>
      </w:r>
    </w:p>
    <w:p>
      <w:pPr>
        <w:spacing w:after="0" w:line="193" w:lineRule="exact"/>
        <w:rPr>
          <w:sz w:val="20"/>
          <w:szCs w:val="20"/>
          <w:color w:val="auto"/>
        </w:rPr>
      </w:pPr>
    </w:p>
    <w:p>
      <w:pPr>
        <w:ind w:left="1300" w:hanging="776"/>
        <w:spacing w:after="0"/>
        <w:tabs>
          <w:tab w:leader="none" w:pos="13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74" w:lineRule="auto"/>
        <w:tabs>
          <w:tab w:leader="none" w:pos="1292"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560" w:type="dxa"/>
            <w:vAlign w:val="bottom"/>
          </w:tcPr>
          <w:p>
            <w:pPr>
              <w:spacing w:after="0"/>
              <w:rPr>
                <w:sz w:val="20"/>
                <w:szCs w:val="20"/>
                <w:color w:val="auto"/>
              </w:rPr>
            </w:pPr>
            <w:r>
              <w:rPr>
                <w:rFonts w:ascii="Arial" w:cs="Arial" w:eastAsia="Arial" w:hAnsi="Arial"/>
                <w:sz w:val="20"/>
                <w:szCs w:val="20"/>
                <w:color w:val="auto"/>
              </w:rPr>
              <w:t>Date: August 29, 2023</w:t>
            </w:r>
          </w:p>
        </w:tc>
        <w:tc>
          <w:tcPr>
            <w:tcW w:w="2300" w:type="dxa"/>
            <w:vAlign w:val="bottom"/>
          </w:tcPr>
          <w:p>
            <w:pPr>
              <w:ind w:left="1760"/>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/s/ Pierre Naudé</w:t>
            </w:r>
          </w:p>
        </w:tc>
      </w:tr>
      <w:tr>
        <w:trPr>
          <w:trHeight w:val="249"/>
        </w:trPr>
        <w:tc>
          <w:tcPr>
            <w:tcW w:w="35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8"/>
              </w:rPr>
              <w:t>Pierre Naudé</w:t>
            </w:r>
          </w:p>
        </w:tc>
      </w:tr>
      <w:tr>
        <w:trPr>
          <w:trHeight w:val="253"/>
        </w:trPr>
        <w:tc>
          <w:tcPr>
            <w:tcW w:w="35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92"/>
              </w:rPr>
              <w:t>Chairman and Chief Executive Officer</w:t>
            </w:r>
          </w:p>
        </w:tc>
      </w:tr>
    </w:tbl>
    <w:p>
      <w:pPr>
        <w:sectPr>
          <w:pgSz w:w="11900" w:h="16838" w:orient="portrait"/>
          <w:cols w:equalWidth="0" w:num="1">
            <w:col w:w="11240"/>
          </w:cols>
          <w:pgMar w:left="320" w:top="141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6"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100" w:firstLine="516"/>
        <w:spacing w:after="0" w:line="257"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July 31, 2023 as filed with the Securities and Exchange Commission on the date hereof (the “Report”), I certify, pursuant to 18 U.S.C. § 1350, as adopted pursuant to § 906 of the Sarbanes-Oxley Act of 2002, that, to my knowledge:</w:t>
      </w:r>
    </w:p>
    <w:p>
      <w:pPr>
        <w:spacing w:after="0" w:line="193" w:lineRule="exact"/>
        <w:rPr>
          <w:sz w:val="20"/>
          <w:szCs w:val="20"/>
          <w:color w:val="auto"/>
        </w:rPr>
      </w:pPr>
    </w:p>
    <w:p>
      <w:pPr>
        <w:ind w:left="1300" w:hanging="776"/>
        <w:spacing w:after="0"/>
        <w:tabs>
          <w:tab w:leader="none" w:pos="1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74" w:lineRule="auto"/>
        <w:tabs>
          <w:tab w:leader="none" w:pos="129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560" w:type="dxa"/>
            <w:vAlign w:val="bottom"/>
          </w:tcPr>
          <w:p>
            <w:pPr>
              <w:spacing w:after="0"/>
              <w:rPr>
                <w:sz w:val="20"/>
                <w:szCs w:val="20"/>
                <w:color w:val="auto"/>
              </w:rPr>
            </w:pPr>
            <w:r>
              <w:rPr>
                <w:rFonts w:ascii="Arial" w:cs="Arial" w:eastAsia="Arial" w:hAnsi="Arial"/>
                <w:sz w:val="20"/>
                <w:szCs w:val="20"/>
                <w:color w:val="auto"/>
              </w:rPr>
              <w:t>Date: August 29, 2023</w:t>
            </w:r>
          </w:p>
        </w:tc>
        <w:tc>
          <w:tcPr>
            <w:tcW w:w="2320" w:type="dxa"/>
            <w:vAlign w:val="bottom"/>
          </w:tcPr>
          <w:p>
            <w:pPr>
              <w:ind w:left="1760"/>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0"/>
              </w:rPr>
              <w:t>/s/ Gregory D. Orenstein</w:t>
            </w:r>
          </w:p>
        </w:tc>
      </w:tr>
      <w:tr>
        <w:trPr>
          <w:trHeight w:val="249"/>
        </w:trPr>
        <w:tc>
          <w:tcPr>
            <w:tcW w:w="35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Arial" w:cs="Arial" w:eastAsia="Arial" w:hAnsi="Arial"/>
                <w:sz w:val="20"/>
                <w:szCs w:val="20"/>
                <w:color w:val="auto"/>
                <w:w w:val="90"/>
              </w:rPr>
              <w:t>Gregory D. Orenstein</w:t>
            </w:r>
          </w:p>
        </w:tc>
      </w:tr>
      <w:tr>
        <w:trPr>
          <w:trHeight w:val="253"/>
        </w:trPr>
        <w:tc>
          <w:tcPr>
            <w:tcW w:w="35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Arial" w:cs="Arial" w:eastAsia="Arial" w:hAnsi="Arial"/>
                <w:sz w:val="20"/>
                <w:szCs w:val="20"/>
                <w:color w:val="auto"/>
                <w:w w:val="92"/>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decimal"/>
      <w:start w:val="367"/>
    </w:lvl>
  </w:abstractNum>
  <w:abstractNum w:abstractNumId="2">
    <w:nsid w:val="7545E146"/>
    <w:multiLevelType w:val="hybridMultilevel"/>
    <w:lvl w:ilvl="0">
      <w:lvlJc w:val="left"/>
      <w:lvlText w:val="(%1)"/>
      <w:numFmt w:val="decimal"/>
      <w:start w:val="303"/>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5"/>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79" Type="http://schemas.openxmlformats.org/officeDocument/2006/relationships/hyperlink" Target="https://www.sec.gov/Archives/edgar/data/1902733/000119312522005239/d246602dex31.htm" TargetMode="External"/><Relationship Id="rId80" Type="http://schemas.openxmlformats.org/officeDocument/2006/relationships/hyperlink" Target="https://www.sec.gov/Archives/edgar/data/1902733/000190273322000031/amendedand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2023-08-29T17:03:04Z</dcterms:created>
  <dcterms:modified xsi:type="dcterms:W3CDTF">2023-08-29T17:03:04Z</dcterms:modified>
</cp:coreProperties>
</file>