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FORM 10-K</w:t>
      </w:r>
    </w:p>
    <w:p>
      <w:pPr>
        <w:pStyle w:val="TextBody"/>
        <w:bidi w:val="0"/>
        <w:spacing w:before="0" w:after="0"/>
        <w:jc w:val="center"/>
        <w:rPr/>
      </w:pPr>
      <w:r>
        <w:rPr/>
      </w:r>
    </w:p>
    <w:p>
      <w:pPr>
        <w:pStyle w:val="TextBody"/>
        <w:bidi w:val="0"/>
        <w:spacing w:lineRule="auto" w:line="288" w:before="120" w:after="283"/>
        <w:jc w:val="center"/>
        <w:rPr/>
      </w:pPr>
      <w:r>
        <w:rPr>
          <w:color w:val="000000"/>
        </w:rPr>
        <w:t>☒    </w:t>
      </w:r>
      <w:r>
        <w:rPr>
          <w:rFonts w:ascii="Times New Roman;sans-serif" w:hAnsi="Times New Roman;sans-serif"/>
          <w:b/>
          <w:color w:val="000000"/>
          <w:sz w:val="16"/>
        </w:rPr>
        <w:t xml:space="preserve">ANNUAL REPORT PURSUANT TO SECTION 13 OR 15(d) OF THE SECURITIES EXCHANGE ACT OF 1934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fiscal year ended January 31, 2024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jc w:val="center"/>
        <w:rPr/>
      </w:pPr>
      <w:r>
        <w:rPr>
          <w:rFonts w:ascii="Times New Roman;sans-serif" w:hAnsi="Times New Roman;sans-serif"/>
          <w:b/>
          <w:color w:val="000000"/>
          <w:sz w:val="16"/>
        </w:rPr>
        <w:t>For the transition period from __to __</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001-41211</w:t>
      </w:r>
    </w:p>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color w:val="000000"/>
          <w:sz w:val="34"/>
        </w:rPr>
      </w:pPr>
      <w:r>
        <w:rPr>
          <w:rFonts w:ascii="Times New Roman;sans-serif" w:hAnsi="Times New Roman;sans-serif"/>
          <w:b/>
          <w:color w:val="000000"/>
          <w:sz w:val="34"/>
        </w:rPr>
        <w:t>nCino, Inc.</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105" w:type="dxa"/>
        <w:jc w:val="center"/>
        <w:tblInd w:w="0" w:type="dxa"/>
        <w:tblLayout w:type="fixed"/>
        <w:tblCellMar>
          <w:top w:w="28" w:type="dxa"/>
          <w:left w:w="28" w:type="dxa"/>
          <w:bottom w:w="28" w:type="dxa"/>
          <w:right w:w="28" w:type="dxa"/>
        </w:tblCellMar>
      </w:tblPr>
      <w:tblGrid>
        <w:gridCol w:w="844"/>
        <w:gridCol w:w="745"/>
        <w:gridCol w:w="750"/>
        <w:gridCol w:w="109"/>
        <w:gridCol w:w="109"/>
        <w:gridCol w:w="109"/>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87-4154342</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6770 Parker Farm Drive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Wilmington, North Carolina 28405</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 including zip code)</w:t>
      </w:r>
    </w:p>
    <w:p>
      <w:pPr>
        <w:pStyle w:val="TextBody"/>
        <w:bidi w:val="0"/>
        <w:spacing w:before="40" w:after="283"/>
        <w:jc w:val="center"/>
        <w:rPr/>
      </w:pPr>
      <w:r>
        <w:rPr/>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(888) 676-2466</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before="40" w:after="283"/>
        <w:jc w:val="center"/>
        <w:rPr/>
      </w:pPr>
      <w:r>
        <w:rPr/>
      </w:r>
    </w:p>
    <w:p>
      <w:pPr>
        <w:pStyle w:val="TextBody"/>
        <w:bidi w:val="0"/>
        <w:spacing w:lineRule="auto" w:line="288" w:before="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60"/>
        <w:gridCol w:w="1018"/>
        <w:gridCol w:w="1031"/>
        <w:gridCol w:w="484"/>
        <w:gridCol w:w="484"/>
        <w:gridCol w:w="486"/>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$0.0005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NCNO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6"/>
        </w:rPr>
        <w:t xml:space="preserve">Securities registered pursuant to Section 12(g) of the Act: </w:t>
      </w:r>
      <w:r>
        <w:rPr>
          <w:rFonts w:ascii="Times New Roman;sans-serif" w:hAnsi="Times New Roman;sans-serif"/>
          <w:b/>
          <w:color w:val="000000"/>
          <w:sz w:val="16"/>
        </w:rPr>
        <w:t>None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 No </w:t>
      </w:r>
      <w:r>
        <w:rPr>
          <w:rFonts w:ascii="Wingdings;sans-serif" w:hAnsi="Wingdings;sans-serif"/>
          <w:b w:val="false"/>
          <w:color w:val="000000"/>
          <w:sz w:val="16"/>
        </w:rPr>
        <w: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No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6"/>
        </w:rPr>
        <w:t>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0" w:after="0"/>
        <w:ind w:left="0" w:right="0" w:firstLine="99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6"/>
        </w:rPr>
        <w:t>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0" w:after="0"/>
        <w:ind w:left="0" w:right="0" w:firstLine="99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common stock held by non-affiliates of the registrant, based on the closing price of a share of the registrant’s common stock on July 31, 2023, which was the last business day of the registrant's most recently completed second fiscal quarter, as reported by The Nasdaq Global Select Market on such date, was $1.5 billion. Shares of the registrant’s common stock held by each executive officer, director, and holders of 5% or more of the outstanding common stock who have been deemed to be affiliates have been excluded. This determination of affiliate status is not necessarily a conclusive determination for other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There were 114,216,575 shares of the registrant's common stock outstanding as of March 21, 2024.</w:t>
      </w:r>
    </w:p>
    <w:p>
      <w:pPr>
        <w:pStyle w:val="TextBody"/>
        <w:bidi w:val="0"/>
        <w:spacing w:before="40" w:after="283"/>
        <w:jc w:val="left"/>
        <w:rPr/>
      </w:pPr>
      <w:r>
        <w:rPr/>
      </w:r>
    </w:p>
    <w:p>
      <w:pPr>
        <w:pStyle w:val="TextBody"/>
        <w:bidi w:val="0"/>
        <w:spacing w:before="40" w:after="283"/>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Portions of the registrant’s Definitive Proxy Statement for the 2024 Annual Meeting of Stockholders (the "Proxy Statement") are incorporated herein by reference in Part II and Part III of this Annual Report on Form 10-K to the extent stated herein. Such Definitive Proxy Statement will be filed with the Securities and Exchange Commission within 120 days of the registrant’s fiscal year ended January 31, 2024</w:t>
      </w:r>
      <w:r>
        <w:rPr>
          <w:rFonts w:ascii="Times New Roman;sans-serif" w:hAnsi="Times New Roman;sans-serif"/>
          <w:b/>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5"/>
        <w:gridCol w:w="251"/>
        <w:gridCol w:w="252"/>
        <w:gridCol w:w="2973"/>
        <w:gridCol w:w="2962"/>
        <w:gridCol w:w="2969"/>
        <w:gridCol w:w="149"/>
        <w:gridCol w:w="149"/>
        <w:gridCol w:w="215"/>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6">
              <w:r>
                <w:rPr>
                  <w:rStyle w:val="InternetLink"/>
                  <w:rFonts w:ascii="Times New Roman;sans-serif" w:hAnsi="Times New Roman;sans-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6">
              <w:r>
                <w:rPr>
                  <w:rStyle w:val="InternetLink"/>
                  <w:rFonts w:ascii="Times New Roman;sans-serif" w:hAnsi="Times New Roman;sans-serif"/>
                  <w:b w:val="false"/>
                  <w:strike w:val="false"/>
                  <w:dstrike w:val="false"/>
                  <w:color w:val="000000"/>
                  <w:sz w:val="20"/>
                  <w:u w:val="none"/>
                  <w:effect w:val="none"/>
                </w:rPr>
                <w:t>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9">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9">
              <w:r>
                <w:rPr>
                  <w:rStyle w:val="InternetLink"/>
                  <w:rFonts w:ascii="Times New Roman;sans-serif" w:hAnsi="Times New Roman;sans-serif"/>
                  <w:b w:val="false"/>
                  <w:strike w:val="false"/>
                  <w:dstrike w:val="false"/>
                  <w:color w:val="000000"/>
                  <w:sz w:val="20"/>
                  <w:u w:val="none"/>
                  <w:effect w:val="none"/>
                </w:rPr>
                <w:t>9</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5">
              <w:r>
                <w:rPr>
                  <w:rStyle w:val="InternetLink"/>
                  <w:rFonts w:ascii="Times New Roman;sans-serif" w:hAnsi="Times New Roman;sans-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5">
              <w:r>
                <w:rPr>
                  <w:rStyle w:val="InternetLink"/>
                  <w:rFonts w:ascii="Times New Roman;sans-serif" w:hAnsi="Times New Roman;sans-serif"/>
                  <w:b w:val="false"/>
                  <w:strike w:val="false"/>
                  <w:dstrike w:val="false"/>
                  <w:color w:val="000000"/>
                  <w:sz w:val="20"/>
                  <w:u w:val="none"/>
                  <w:effect w:val="none"/>
                </w:rPr>
                <w:t>31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178">
              <w:r>
                <w:rPr>
                  <w:rStyle w:val="InternetLink"/>
                  <w:rFonts w:ascii="Times New Roman;sans-serif" w:hAnsi="Times New Roman;sans-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178">
              <w:r>
                <w:rPr>
                  <w:rStyle w:val="InternetLink"/>
                  <w:rFonts w:ascii="Times New Roman;sans-serif" w:hAnsi="Times New Roman;sans-serif"/>
                  <w:b w:val="false"/>
                  <w:strike w:val="false"/>
                  <w:dstrike w:val="false"/>
                  <w:color w:val="000000"/>
                  <w:sz w:val="20"/>
                  <w:u w:val="none"/>
                  <w:effect w:val="none"/>
                </w:rPr>
                <w:t>31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8">
              <w:r>
                <w:rPr>
                  <w:rStyle w:val="InternetLink"/>
                  <w:rFonts w:ascii="Times New Roman;sans-serif" w:hAnsi="Times New Roman;sans-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8">
              <w:r>
                <w:rPr>
                  <w:rStyle w:val="InternetLink"/>
                  <w:rFonts w:ascii="Times New Roman;sans-serif" w:hAnsi="Times New Roman;sans-serif"/>
                  <w:b w:val="false"/>
                  <w:strike w:val="false"/>
                  <w:dstrike w:val="false"/>
                  <w:color w:val="000000"/>
                  <w:sz w:val="20"/>
                  <w:u w:val="none"/>
                  <w:effect w:val="none"/>
                </w:rPr>
                <w:t>32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31">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31">
              <w:r>
                <w:rPr>
                  <w:rStyle w:val="InternetLink"/>
                  <w:rFonts w:ascii="Times New Roman;sans-serif" w:hAnsi="Times New Roman;sans-serif"/>
                  <w:b w:val="false"/>
                  <w:strike w:val="false"/>
                  <w:dstrike w:val="false"/>
                  <w:color w:val="000000"/>
                  <w:sz w:val="20"/>
                  <w:u w:val="none"/>
                  <w:effect w:val="none"/>
                </w:rPr>
                <w:t>32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34">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34">
              <w:r>
                <w:rPr>
                  <w:rStyle w:val="InternetLink"/>
                  <w:rFonts w:ascii="Times New Roman;sans-serif" w:hAnsi="Times New Roman;sans-serif"/>
                  <w:b w:val="false"/>
                  <w:strike w:val="false"/>
                  <w:dstrike w:val="false"/>
                  <w:color w:val="000000"/>
                  <w:sz w:val="20"/>
                  <w:u w:val="none"/>
                  <w:effect w:val="none"/>
                </w:rPr>
                <w:t>32</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40">
              <w:r>
                <w:rPr>
                  <w:rStyle w:val="InternetLink"/>
                  <w:rFonts w:ascii="Times New Roman;sans-serif" w:hAnsi="Times New Roman;sans-serif"/>
                  <w:b w:val="false"/>
                  <w:color w:val="0000FF"/>
                  <w:sz w:val="20"/>
                  <w:u w:val="single"/>
                </w:rPr>
                <w:t>Market for the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40">
              <w:r>
                <w:rPr>
                  <w:rStyle w:val="InternetLink"/>
                  <w:rFonts w:ascii="Times New Roman;sans-serif" w:hAnsi="Times New Roman;sans-serif"/>
                  <w:b w:val="false"/>
                  <w:strike w:val="false"/>
                  <w:dstrike w:val="false"/>
                  <w:color w:val="000000"/>
                  <w:sz w:val="20"/>
                  <w:u w:val="none"/>
                  <w:effect w:val="none"/>
                </w:rPr>
                <w:t>33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43">
              <w:r>
                <w:rPr>
                  <w:rStyle w:val="InternetLink"/>
                  <w:rFonts w:ascii="Times New Roman;sans-serif" w:hAnsi="Times New Roman;sans-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43">
              <w:r>
                <w:rPr>
                  <w:rStyle w:val="InternetLink"/>
                  <w:rFonts w:ascii="Times New Roman;sans-serif" w:hAnsi="Times New Roman;sans-serif"/>
                  <w:b w:val="false"/>
                  <w:strike w:val="false"/>
                  <w:dstrike w:val="false"/>
                  <w:color w:val="000000"/>
                  <w:sz w:val="20"/>
                  <w:u w:val="none"/>
                  <w:effect w:val="none"/>
                </w:rPr>
                <w:t>34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46">
              <w:r>
                <w:rPr>
                  <w:rStyle w:val="InternetLink"/>
                  <w:rFonts w:ascii="Times New Roman;sans-serif" w:hAnsi="Times New Roman;sans-serif"/>
                  <w:b w:val="false"/>
                  <w:strike w:val="false"/>
                  <w:dstrike w:val="false"/>
                  <w:color w:val="000000"/>
                  <w:sz w:val="20"/>
                  <w:u w:val="none"/>
                  <w:effect w:val="none"/>
                </w:rPr>
                <w:t>34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85">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85">
              <w:r>
                <w:rPr>
                  <w:rStyle w:val="InternetLink"/>
                  <w:rFonts w:ascii="Times New Roman;sans-serif" w:hAnsi="Times New Roman;sans-serif"/>
                  <w:b w:val="false"/>
                  <w:strike w:val="false"/>
                  <w:dstrike w:val="false"/>
                  <w:color w:val="000000"/>
                  <w:sz w:val="20"/>
                  <w:u w:val="none"/>
                  <w:effect w:val="none"/>
                </w:rPr>
                <w:t>51</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88">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88">
              <w:r>
                <w:rPr>
                  <w:rStyle w:val="InternetLink"/>
                  <w:rFonts w:ascii="Times New Roman;sans-serif" w:hAnsi="Times New Roman;sans-serif"/>
                  <w:b w:val="false"/>
                  <w:strike w:val="false"/>
                  <w:dstrike w:val="false"/>
                  <w:color w:val="000000"/>
                  <w:sz w:val="20"/>
                  <w:u w:val="none"/>
                  <w:effect w:val="none"/>
                </w:rPr>
                <w:t>53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9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90">
              <w:r>
                <w:rPr>
                  <w:rStyle w:val="InternetLink"/>
                  <w:rFonts w:ascii="Times New Roman;sans-serif" w:hAnsi="Times New Roman;sans-serif"/>
                  <w:b w:val="false"/>
                  <w:strike w:val="false"/>
                  <w:dstrike w:val="false"/>
                  <w:color w:val="000000"/>
                  <w:sz w:val="20"/>
                  <w:u w:val="none"/>
                  <w:effect w:val="none"/>
                </w:rPr>
                <w:t>92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93">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93">
              <w:r>
                <w:rPr>
                  <w:rStyle w:val="InternetLink"/>
                  <w:rFonts w:ascii="Times New Roman;sans-serif" w:hAnsi="Times New Roman;sans-serif"/>
                  <w:b w:val="false"/>
                  <w:strike w:val="false"/>
                  <w:dstrike w:val="false"/>
                  <w:color w:val="000000"/>
                  <w:sz w:val="20"/>
                  <w:u w:val="none"/>
                  <w:effect w:val="none"/>
                </w:rPr>
                <w:t>92</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96">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96">
              <w:r>
                <w:rPr>
                  <w:rStyle w:val="InternetLink"/>
                  <w:rFonts w:ascii="Times New Roman;sans-serif" w:hAnsi="Times New Roman;sans-serif"/>
                  <w:b w:val="false"/>
                  <w:strike w:val="false"/>
                  <w:dstrike w:val="false"/>
                  <w:color w:val="000000"/>
                  <w:sz w:val="20"/>
                  <w:u w:val="none"/>
                  <w:effect w:val="none"/>
                </w:rPr>
                <w:t>93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99">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99">
              <w:r>
                <w:rPr>
                  <w:rStyle w:val="InternetLink"/>
                  <w:rFonts w:ascii="Times New Roman;sans-serif" w:hAnsi="Times New Roman;sans-serif"/>
                  <w:b w:val="false"/>
                  <w:strike w:val="false"/>
                  <w:dstrike w:val="false"/>
                  <w:color w:val="000000"/>
                  <w:sz w:val="20"/>
                  <w:u w:val="none"/>
                  <w:effect w:val="none"/>
                </w:rPr>
                <w:t>93</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05">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05">
              <w:r>
                <w:rPr>
                  <w:rStyle w:val="InternetLink"/>
                  <w:rFonts w:ascii="Times New Roman;sans-serif" w:hAnsi="Times New Roman;sans-serif"/>
                  <w:b w:val="false"/>
                  <w:strike w:val="false"/>
                  <w:dstrike w:val="false"/>
                  <w:color w:val="000000"/>
                  <w:sz w:val="20"/>
                  <w:u w:val="none"/>
                  <w:effect w:val="none"/>
                </w:rPr>
                <w:t>93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08">
              <w:r>
                <w:rPr>
                  <w:rStyle w:val="InternetLink"/>
                  <w:rFonts w:ascii="Times New Roman;sans-serif" w:hAnsi="Times New Roman;sans-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08">
              <w:r>
                <w:rPr>
                  <w:rStyle w:val="InternetLink"/>
                  <w:rFonts w:ascii="Times New Roman;sans-serif" w:hAnsi="Times New Roman;sans-serif"/>
                  <w:b w:val="false"/>
                  <w:strike w:val="false"/>
                  <w:dstrike w:val="false"/>
                  <w:color w:val="000000"/>
                  <w:sz w:val="20"/>
                  <w:u w:val="none"/>
                  <w:effect w:val="none"/>
                </w:rPr>
                <w:t>93</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1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11">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1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14">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17">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17">
              <w:r>
                <w:rPr>
                  <w:rStyle w:val="InternetLink"/>
                  <w:rFonts w:ascii="Times New Roman;sans-serif" w:hAnsi="Times New Roman;sans-serif"/>
                  <w:b w:val="false"/>
                  <w:strike w:val="false"/>
                  <w:dstrike w:val="false"/>
                  <w:color w:val="000000"/>
                  <w:sz w:val="20"/>
                  <w:u w:val="none"/>
                  <w:effect w:val="none"/>
                </w:rPr>
                <w:t>94</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23">
              <w:r>
                <w:rPr>
                  <w:rStyle w:val="InternetLink"/>
                  <w:rFonts w:ascii="Times New Roman;sans-serif" w:hAnsi="Times New Roman;sans-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23">
              <w:r>
                <w:rPr>
                  <w:rStyle w:val="InternetLink"/>
                  <w:rFonts w:ascii="Times New Roman;sans-serif" w:hAnsi="Times New Roman;sans-serif"/>
                  <w:b w:val="false"/>
                  <w:strike w:val="false"/>
                  <w:dstrike w:val="false"/>
                  <w:color w:val="000000"/>
                  <w:sz w:val="20"/>
                  <w:u w:val="none"/>
                  <w:effect w:val="none"/>
                </w:rPr>
                <w:t>95</w:t>
              </w:r>
            </w:hyperlink>
          </w:p>
        </w:tc>
      </w:tr>
      <w:tr>
        <w:trPr/>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29">
              <w:r>
                <w:rPr>
                  <w:rStyle w:val="InternetLink"/>
                  <w:rFonts w:ascii="Times New Roman;sans-serif" w:hAnsi="Times New Roman;sans-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29">
              <w:r>
                <w:rPr>
                  <w:rStyle w:val="InternetLink"/>
                  <w:rFonts w:ascii="Times New Roman;sans-serif" w:hAnsi="Times New Roman;sans-serif"/>
                  <w:b w:val="false"/>
                  <w:strike w:val="false"/>
                  <w:dstrike w:val="false"/>
                  <w:color w:val="000000"/>
                  <w:sz w:val="20"/>
                  <w:u w:val="none"/>
                  <w:effect w:val="none"/>
                </w:rPr>
                <w:t>98</w:t>
              </w:r>
            </w:hyperlink>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232">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232">
              <w:r>
                <w:rPr>
                  <w:rStyle w:val="InternetLink"/>
                  <w:rFonts w:ascii="Times New Roman;sans-serif" w:hAnsi="Times New Roman;sans-serif"/>
                  <w:b w:val="false"/>
                  <w:strike w:val="false"/>
                  <w:dstrike w:val="false"/>
                  <w:color w:val="000000"/>
                  <w:sz w:val="20"/>
                  <w:u w:val="none"/>
                  <w:effect w:val="none"/>
                </w:rPr>
                <w:t>99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 As used in this report, the terms “nCino,” the “Company,” “we,” “us,” and “our” mean nCino, Inc. and its subsidiaries unless the context indicates otherwise.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not guarantees of future performance and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 Some of the key factors that could cause actual results to differ from our expectations include, but are not limited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future financial performance, including our expectations regarding our revenues, cost of revenues, operating expenses, and our ability to achieve and maintain future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execute strategies, plans, objectives, and goals;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compete with existing and new competitors in existing and new markets and offerings;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develop and protect our brand;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effectively manage privacy, information, and data security;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associated with research and development and building out our sales, professional services and customer support teams;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concentration of our customer base in the financial institution sector and their spending on cloud-based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add and retain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expand internationally and associated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and management of future growth based on subscription revenues over the term of our customer contracts;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concerning relationships with our customers, partners, and other third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macroeconomic conditions, including inflation and higher interest rates and geopolitical uncertainties;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economic and industry trends;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projected growth or trend analysis;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relationship with Salesforce and our system integration ("SI")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seasonal sales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add capacity and automation to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and retain key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integrate and realize the benefits from acquisitions and other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service our debt obligations;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defend litigation or other proceedings brought against 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 In addition, statements such as “we believe” and similar statements reflect our beliefs and opinions on the relevant subject. These statements are based upon information available to us as of the date on which it is made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Through its single software-as-a-service ("SaaS") platform, nCino helps financial institutions ("FI") serving corporate and commercial, small business, consumer, and mortgage customers modernize and more effectively onboard clients, open accounts, make loans and navigate the loan lifecycle, and effectively monitor and manage their portfolio. Transforming how FIs operate through innovation, reputation and speed, nCino is partnered with more than 1,800 customers globally. With the nCino Bank Operating System, FIs can: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Digitally Serve Their Clients Across Lines of Business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nCino Bank Operating System delivers distinctive experiences across devices, channels and products, enabling a seamless digital relationship between an FI, its employees, its clients and key third parties. Because nCino is a cloud native platform, employees can serve their customers anywhere, at any time, from any internet-enabled device, empowering them to build deeper relationships. For consumers who increasingly expect frictionless digital services, this ability is no longer a differentiator for FIs, but a necessity.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Improve Efficiency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nCino customers leverage the platform’s capabilities to drive efficiency by eliminating cumbersome legacy systems, improving client satisfaction and retention, and digitally expanding their brand presence and reach. By connecting previously disjointed functions and breaking down internal silos, nCino increases transparency at all organizational levels across all lines of business, enabling FIs to measure their operations and maximize performance, productivity and profitability.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Elevate Employee Experience and Performance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nCino Bank Operating System’s automation, workflow and digitization capabilities help eliminate manual processes and redundant efforts, freeing an FI's employees to focus on their clients’ experiences rather than their transactions. In addition, our intelligent enterprise content management system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 which means employees only have to ask for information once.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Manage Risk and Compliance More Effectively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nCino Bank Operating System can help FIs reduce regulatory, 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 Because nCino is highly configurable, it can adjust as regulations and the FI's risk requirements evolve, including regulatory changes, economic headwinds, sharp pivots, and ongoing volatility.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Establish an Active Data, Audit and Business Intelligence Hub</w:t>
      </w:r>
      <w:r>
        <w:rPr>
          <w:rFonts w:ascii="Times New Roman;sans-serif" w:hAnsi="Times New Roman;sans-serif"/>
          <w:b w:val="false"/>
          <w:color w:val="000000"/>
          <w:sz w:val="20"/>
        </w:rPr>
        <w:t>. Key to the nCino Bank Operating System is infusing intelligence into every stage of the banking lifecycle. nCino provides FIs with innovative technology that helps them meet the challenges of today and tomorrow, including predictive artificial intelligence ("AI") applications like Commercial Pricing and Profitability and Automated Spreading. As a trusted partner, nCino continues to develop solutions powered by nCino IQ ("nIQ") that help FIs integrate predictive and generative AI capabilities when and where it matters most, across the banking lifecycle.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Embrace the Power of Intelligent Automation and Uncover Data-Driven Insights. </w:t>
      </w:r>
      <w:r>
        <w:rPr>
          <w:rFonts w:ascii="Times New Roman;sans-serif" w:hAnsi="Times New Roman;sans-serif"/>
          <w:b w:val="false"/>
          <w:color w:val="000000"/>
          <w:sz w:val="20"/>
        </w:rPr>
        <w:t xml:space="preserve">AI is rapidly changing the financial services industry. As AI creates new value streams within banking, nCino is simplifying FIs’ navigation through this transformative technology. nCino provides FIs with innovative technology that helps them meet the challenges of today and tomorrow, including predictive AI applications like Commercial Pricing and Profitability and Automated Spreading.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Journey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was originally founded in a bank to improve that FI’s operations and client service. After realizing that the same problems—cumbersome legacy technology, fragmented data, disconnected business functions, and a disengaged workforce made it difficult to maintain relevancy in their clients' lives—were endemic across the financial services industry, nCino spun out as a separate company in late 2011. This heritage is the foundation of our deep banking domain expertise, which differentiates us, continues to drive our strategy, and makes us uniquely qualified to help FIs create new efficiencies by providing an end-to-end platform that spans business lines and combines capabilities for a seamless experience.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nCino Bank Operating System was initially designed to help transform commercial and small business lending for community and regional banks. This solution was introduced to enterprise banks in the United States ("U.S.") in 2014, and then internationally in 2017, and has subsequently expanded across North America, Europe, the Middle East, and Asia-Pacific ("APAC"). Throughout this market expansion, we broadened the nCino Bank Operating System by adding functionality for consumer lending, client onboarding, deposit account opening, analytics and artificial intelligence and machine learning ("AI/ML"). On January 7, 2022 (the "Acquisition Date"), nCino acquired SimpleNexus, a leading cloud-based mobile-first homeownership software company in the U.S., which expanded the suite of products to include a suite of mortgage solutions. On September 8, 2023, SimpleNexus began operating as SimpleNexus, LLC d/b/a nCino Mortgage, LLC ("nCino Mortgage") as part of our rebranding effort.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acquired DocFox, Inc. ("DocFox"), a leading solution provider automating onboarding experiences for commercial and business banking, for an aggregate purchase price of $75.0 million. See Note 20 "Subsequent Events" of the notes to our consolidated financial statements included in Part II, Item 8 of this Annual Report on Form 10-K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the nCino Bank Operating System Works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nCino Bank Operating System connects FIs' employees, their clients and third parties on a single, cloud-based platform, eliminating silos and bringing new levels of coordination and transparency to an FI. By utilizing a single platform across business lines, processes and channels, FIs are able to leverage the same data and information across their entire organization to drive efficiency, enhance decision-making, and increase connectivity.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native cloud platform that utilizes a single code base regardless of the size and complexity of the FI, the nCino Bank Operating System is highly scalable and configurable for the specific needs of each FI. Once implemented, our solution becomes deeply embedded in our customers’ business processes, enabling mission critical workflow across the FI and allowing our customers to serve their clients anytime, anywhere, from any internet-enabled device.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nCino Bank Operating System also delivers data analytics and AI/ML capabilities through nIQ application suite to provide our customers with automation and insights into their operations, such as tools for analyzing, measuring and managing credit risk, as well as to improve their ability to comply with regulatory requirements.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Fundamental elements of the nCino platform are built on Salesforce (the "Salesforce Platform"), which allows the Company to focus product development efforts on building deep vertical functionality specifically for FIs, while leveraging Salesforce's global infrastructure, reliability, and scalability. nCino also has solutions that leverage the Amazon Web Services ("AWS") platform.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offer the nCino Bank Operating System on a subscription basis pursuant to non-cancellable multi-year contracts that typically range from three to five years, and we employ a “land and expand” business model. The nCino Bank Operating System is designed to scale with our customers, and once our solution is deployed, we seek to have our customers expand adoption within and across lines of business.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Benefits and Features of the nCino Bank Operating System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nCino Bank Operating System leverages common data sets and functionality across applications, which optimizes and accelerates its deployment throughout a FI. These include: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Client Onboarding. </w:t>
      </w:r>
      <w:r>
        <w:rPr>
          <w:rFonts w:ascii="Times New Roman;sans-serif" w:hAnsi="Times New Roman;sans-serif"/>
          <w:b w:val="false"/>
          <w:color w:val="000000"/>
          <w:sz w:val="20"/>
        </w:rPr>
        <w:t xml:space="preserve">Built into the nCino Bank Operating System is client onboarding functionality that supports and automates the front, middle and back office onboarding process, allowing FIs to effectively evaluate the risk of doing business with a client, while also providing clients an efficient and personalized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user experience. Clients are able to upload documents directly into the nCino Bank Operating System, complete identity verification and provide information about themselves and their business, offering a level of transparency to the FI that enables regulatory compliance, such as Know-Your-Customer (“KYC”). With enhanced onboarding reporting tools, FIs can generate customized reports and use real-time analytics and data from government watchlists and other third-party systems to achieve a holistic client view, enabling our customers to offer their clients more value-added services and custom-tailored offerings.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Deposit Account Opening. </w:t>
      </w:r>
      <w:r>
        <w:rPr>
          <w:rFonts w:ascii="Times New Roman;sans-serif" w:hAnsi="Times New Roman;sans-serif"/>
          <w:b w:val="false"/>
          <w:color w:val="000000"/>
          <w:sz w:val="20"/>
        </w:rPr>
        <w:t>The nCino Bank Operating System’s deposit account opening application optimizes the process for opening checking, savings, debit/ATM cards, money market, certificates of deposit and retirement accounts. FIs can utilize nCino’s intuitive, scalable and flexible workflow to efficiently open consumer, commercial or small business accounts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 xml:space="preserve">Loan Origination. </w:t>
      </w:r>
      <w:r>
        <w:rPr>
          <w:rFonts w:ascii="Times New Roman;sans-serif" w:hAnsi="Times New Roman;sans-serif"/>
          <w:b w:val="false"/>
          <w:color w:val="000000"/>
          <w:sz w:val="20"/>
        </w:rPr>
        <w:t xml:space="preserve">The loan origination functionality embedded within the nCino Bank Operating System combines an innovative and 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loan origination functionality supports a wide range of lending products across commercial, small business and consumer lines of business. The nCino Bank Operating System can facilitate the origination of an FI’s most complex commercial lending products, including syndicated loans, commercial and industrial loans, commercial real estate loans and construction loans, while also supporting the depth required for specific products such as agriculture lending, asset-based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End-to-End Mortgage Suite.</w:t>
      </w:r>
      <w:r>
        <w:rPr>
          <w:color w:val="000000"/>
        </w:rPr>
        <w:t xml:space="preserve"> </w:t>
      </w:r>
      <w:r>
        <w:rPr>
          <w:rFonts w:ascii="Times New Roman;sans-serif" w:hAnsi="Times New Roman;sans-serif"/>
          <w:b w:val="false"/>
          <w:color w:val="000000"/>
          <w:sz w:val="20"/>
        </w:rPr>
        <w:t>nCino’s Mortgage Suite increases an FI's mortgage profitability by automating loan processing and closing, delivering modern customer convenience, surfacing data insights, and simplifying incentive compensation management. As a leading provider of digital mortgage technology within the U.S. market, nCino’s Mortgage Suite helps financial institutions in the U.S. streamline their borrower journey, improve stakeholder collaboration, seamlessly connect lender system tools, and enhance efficiency in operations – all so lenders can increase mortgage profitability and provide their customers an exceptional user experience.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nIQ:</w:t>
      </w:r>
      <w:r>
        <w:rPr>
          <w:color w:val="000000"/>
        </w:rPr>
        <w:t xml:space="preserve"> </w:t>
      </w:r>
      <w:r>
        <w:rPr>
          <w:rFonts w:ascii="Times New Roman;sans-serif" w:hAnsi="Times New Roman;sans-serif"/>
          <w:b w:val="false"/>
          <w:color w:val="000000"/>
          <w:sz w:val="20"/>
        </w:rPr>
        <w:t>The nCino Bank Operating System is powered by nIQ, which leverages AI/ML and analytics, helping FIs become more predictive, personalized and proactive. Through nIQ’s Automated Spreading feature, FIs can streamline manual data entry processes throughout the underwriting process and automatically capture more data, reducing the time it takes to spread and process documents and enabling bankers to devote more time to insightful financial analysis and focus on value-add activities. By combining newly available data from digitized processes with sophisticated profitability models, nIQ’s Commercial Pricing and Profitability functionality delivers targeted pricing insights at the point of decision, helping relationship managers intelligently price loans and win the right deals. FIs can also leverage the data visualization and predictive analytics capabilities of nIQ’s Portfolio Analytics solution to maintain a holistic view of portfolio trends, discover new lending opportunities, and proactively address risk within different segments. By embedding insights and automation into the loan lifecycle, nCino empowers FIs to accelerate revenue growth, improve operational efficiency and win the trust of their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A Powerful Ecosystem.</w:t>
      </w:r>
      <w:r>
        <w:rPr>
          <w:color w:val="000000"/>
        </w:rPr>
        <w:t xml:space="preserve"> </w:t>
      </w:r>
      <w:r>
        <w:rPr>
          <w:rFonts w:ascii="Times New Roman;sans-serif" w:hAnsi="Times New Roman;sans-serif"/>
          <w:b w:val="false"/>
          <w:color w:val="000000"/>
          <w:sz w:val="20"/>
        </w:rPr>
        <w:t>By harnessing the power of diverse partners and leveraging open application programming interfaces and productized integrations, the nCino Bank Operating System creates a connected and scalable ecosystem that brings together disparate data sources and systems, acting as a data hub that integrates with core systems, credit reporting agencies and other third-party applications to centralize an FI’s data, creating an actionable single data platform and warehouse. In addition, we work with some of the world’s leading technology and SI partners to help implement our solution, which has increased our capacity to deliver and deploy the nCino Bank Operating System and enabled us to scale more quickly.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Customers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critical and attractive as our innovation platform is, it is our proven execution and delivery that makes nCino an ideal partner to FIs. Working closely with our customers, we take a pragmatic approach to helping institutions digitally transform.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a pioneer in cloud banking, we have developed trusted relationships and a reputation for successfully implementing our solutions with FIs of all sizes in multiple geographies. Our diverse customer base ranges from global FIs, such as Bank of America, Barclays, Santander, and TD Bank; to enterprise banks, such as Truist Bank and U.S. Bank; to regional and community banks, like WaFd Bank, M&amp;F Bank, and ConnectOne Bank; to credit unions, such as Navy Federal Credit Union, SAFE Credit Union, Marine Credit Union, and Conexus Credit Union; to new market entrants, such as challenger banks like Recognise Bank and Judo Bank; to independent mortgage banks like Synergy One Lending and Fairway Independent Mortgage Corporation. These companies represent a cross-section of FIs across asset classes and geographies and each of these customers represent a substantial level of Annual Contract Value ("ACV") in its respective category.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of January 31, 2024, we had 460</w:t>
      </w:r>
      <w:r>
        <w:rPr>
          <w:color w:val="FF0000"/>
        </w:rPr>
        <w:t xml:space="preserve"> </w:t>
      </w:r>
      <w:r>
        <w:rPr>
          <w:rFonts w:ascii="Times New Roman;sans-serif" w:hAnsi="Times New Roman;sans-serif"/>
          <w:b w:val="false"/>
          <w:color w:val="000000"/>
          <w:sz w:val="20"/>
        </w:rPr>
        <w:t>FIs that have contracted for the nCino Bank Operating System for client onboarding, loan origination and/or deposit account opening. In addition, we have over 1,000</w:t>
      </w:r>
      <w:r>
        <w:rPr>
          <w:color w:val="FF0000"/>
        </w:rPr>
        <w:t xml:space="preserve"> </w:t>
      </w:r>
      <w:r>
        <w:rPr>
          <w:rFonts w:ascii="Times New Roman;sans-serif" w:hAnsi="Times New Roman;sans-serif"/>
          <w:b w:val="false"/>
          <w:color w:val="000000"/>
          <w:sz w:val="20"/>
        </w:rPr>
        <w:t>FIs that have contracted for our Portfolio Analytics solutions, which we acquired with the nCino Portfolio Analytics, LLC (formerly, Visible Equity, LLC, "Visible Equity") acquisition in fiscal 2020, and over 430</w:t>
      </w:r>
      <w:r>
        <w:rPr>
          <w:color w:val="FF0000"/>
        </w:rPr>
        <w:t xml:space="preserve"> </w:t>
      </w:r>
      <w:r>
        <w:rPr>
          <w:rFonts w:ascii="Times New Roman;sans-serif" w:hAnsi="Times New Roman;sans-serif"/>
          <w:b w:val="false"/>
          <w:color w:val="000000"/>
          <w:sz w:val="20"/>
        </w:rPr>
        <w:t>customers that have contracted for nCino Mortgage Suite. In total, we had over 1,800 customers as of January 31, 2024, of which 501</w:t>
      </w:r>
      <w:r>
        <w:rPr>
          <w:color w:val="FF0000"/>
        </w:rPr>
        <w:t xml:space="preserve"> </w:t>
      </w:r>
      <w:r>
        <w:rPr>
          <w:rFonts w:ascii="Times New Roman;sans-serif" w:hAnsi="Times New Roman;sans-serif"/>
          <w:b w:val="false"/>
          <w:color w:val="000000"/>
          <w:sz w:val="20"/>
        </w:rPr>
        <w:t>each generated more than $100,000 in subscription revenues in fiscal 2024. No single customer represented more than 10% of total revenues in fiscal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How nCino Will Grow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growing our business by executing on the following strategies: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Expand Within and Across Our Existing Customers.</w:t>
      </w:r>
      <w:r>
        <w:rPr>
          <w:color w:val="000000"/>
        </w:rPr>
        <w:t xml:space="preserve"> </w:t>
      </w:r>
      <w:r>
        <w:rPr>
          <w:rFonts w:ascii="Times New Roman;sans-serif" w:hAnsi="Times New Roman;sans-serif"/>
          <w:b w:val="false"/>
          <w:color w:val="000000"/>
          <w:sz w:val="20"/>
        </w:rPr>
        <w:t>We believe there is a significant opportunity to further expand within our existing customer base both vertically within business lines and horizontally across business lines. Our revenues from existing customers continue to grow as additional users are added, creating strong customer cohort dynamics.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Expand Our Customer Base.</w:t>
      </w:r>
      <w:r>
        <w:rPr>
          <w:color w:val="000000"/>
        </w:rPr>
        <w:t xml:space="preserve"> </w:t>
      </w:r>
      <w:r>
        <w:rPr>
          <w:rFonts w:ascii="Times New Roman;sans-serif" w:hAnsi="Times New Roman;sans-serif"/>
          <w:b w:val="false"/>
          <w:color w:val="000000"/>
          <w:sz w:val="20"/>
        </w:rPr>
        <w:t>We believe the global market for a single platform is large and underserved. With FIs needing to replace legacy point products with modern technology and increased consumer demand for digital services, we believe there is a significant opportunity to deliver our solutions and expand our customer base to FIs of all sizes and complexities around the world. Currently deployed in 19 countries, we have made significant investments to expand our presence in EMEA and APAC, and the nCino Bank Operating System can currently support over 120 languages and over 140 currencies. We promote sales in North America out of our offices in the U.S. and Canada, in APAC out of our offices in Australia, New Zealand, and Japan, and in EMEA out of our offices in the UK and Spain.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Continue Strengthening and Extending Our Product Functionality.</w:t>
      </w:r>
      <w:r>
        <w:rPr>
          <w:color w:val="000000"/>
        </w:rPr>
        <w:t xml:space="preserve"> </w:t>
      </w:r>
      <w:r>
        <w:rPr>
          <w:rFonts w:ascii="Times New Roman;sans-serif" w:hAnsi="Times New Roman;sans-serif"/>
          <w:b w:val="false"/>
          <w:color w:val="000000"/>
          <w:sz w:val="20"/>
        </w:rPr>
        <w:t>We invested 24.6% of our revenues back into research and development in fiscal 2024 and will continue to invest at similar levels in fiscal 2025 to continue to extend the breadth and depth of the nCino Bank Operating System.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Foster and Grow Our SI and Technology Ecosystem</w:t>
      </w:r>
      <w:r>
        <w:rPr>
          <w:rFonts w:ascii="Times New Roman;sans-serif" w:hAnsi="Times New Roman;sans-serif"/>
          <w:b w:val="false"/>
          <w:color w:val="000000"/>
          <w:sz w:val="20"/>
        </w:rPr>
        <w:t xml:space="preserve">. We have developed strong relationships with several leading SIs, including Accenture, Deloitte, PwC, and West Monroe Partners, that increase our capacity to onboard new customers and implement the nCino Bank Operating System, extend our global reach and drive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market awareness. To date, over 3,500 SI consultants have completed our training program to implement the nCino Bank Operating System. Through the open architecture of the nCino Bank Operating System, an increasing number of third-party technology partners, including Rich Data Co, Alloy, Codat, Plaid, and DocuSign, among others, are integrated with our solution.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Selectively Pursue Strategic Transactions.</w:t>
      </w:r>
      <w:r>
        <w:rPr>
          <w:color w:val="000000"/>
        </w:rPr>
        <w:t xml:space="preserve"> </w:t>
      </w:r>
      <w:r>
        <w:rPr>
          <w:rFonts w:ascii="Times New Roman;sans-serif" w:hAnsi="Times New Roman;sans-serif"/>
          <w:b w:val="false"/>
          <w:color w:val="000000"/>
          <w:sz w:val="20"/>
        </w:rPr>
        <w:t>In addition to developing our solutions organically, we may selectively pursue acquisitions, joint ventures, or other strategic transactions. We expect these transactions to focus on innovation to help strengthen and expand the functionality and features of our solutions and/or expand our global presence. For example, in fiscal 2020, we acquired nCino Portfolio Analytics, LLC (formerly Visible Equity) and FinSuite Pty Ltd ("FinSuite") as part of our strategy to build out our nIQ capabilities, and we established our nCino K.K. joint venture to facilitate our entry into the Japanese market. Additionally, in January 2022, we completed our acquisition of SimpleNexus, which expanded our capabilities to the U.S. point-of-sale mortgage market.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 with Salesforce</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our inception, we built the nCino Bank Operating System on the Salesforce Platform to leverage its global infrastructure, reliability, and scalability. This strategy has allowed us to benefit from Salesforce’s investment in the continual improvement of the Salesforce Platform. We believe we have a mutually beneficial strategic relationship with Salesforce.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agreement with Salesforce,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our agreement with Salesforce, we are an authorized reseller of Salesforce’s CRM functionality to certain FIs in the U.S. Our original agreement with Salesforce was entered into in December 2011, which was superseded and replaced on June 19, 2020. On December 20, 2023, our agreement with Salesforce was amended and its term was extended to expire on January 31, 2031 unless earlier terminated by either party in the event of the other party’s material breach, bankruptcy, change in control in favor of a direct competitor, or intellectual property infringement. Our agreement with Salesforce automatically renews for additional one-year periods thereafter unless notice of termination is provided.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Global Revenue Organization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Global Revenue Organization includes business development representatives, account executives, field sales engineers, and marketing. These teams are responsible for demand and lead generation, driving new business, and helping to manage account relationships and renewals, further driving adoption of our solutions within and across lines of business. These teams maintain close relationships with existing customers and act as an advisor to each FI to help identify and understand their unique needs, challenges, goals, and opportunities.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addition, our marketing team oversees all aspects of the nCino global brand including brand strategy, public relations and external communications, integrated marketing, product marketing, market strategy, marketing operations, and regional marketing. Our marketing efforts span the full buyer journey from brand awareness and pipeline generation to adoption and cross-sell</w:t>
      </w:r>
      <w:r>
        <w:rPr>
          <w:rFonts w:ascii="Calibri;sans-serif" w:hAnsi="Calibri;sans-serif"/>
          <w:b w:val="false"/>
          <w:color w:val="000000"/>
          <w:sz w:val="24"/>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 Success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Once a customer contracts for the nCino Bank Operating System, we provide configuration and implementation services to assist the customer in the deployment, either directly or through our SI partners. Configuration and implementation engagements typically range in duration from three months to 18 months, depending on the scope. For enterprise FIs, we generally work with SIs such as Accenture, Deloitte, and PwC. For regional FIs, we work with SIs such as West Monroe Partners, and for community banks, we work with SIs or perform configuration and implementation ourselves. When we work with SIs, we generally field a small team of advisory consultants alongside the SIs to help ensure the success of the engagement.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support our customers with 24/7 access to engineers and other technical support personnel, outcome-based support offerings, release management, managed services, and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team is the customer’s central touch point, whose primary job is to manage the long-term health and success of each customer.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majority of our FI customers, whose employees utilize our client onboarding, loan origination, and/or deposit account opening applications, have joined our online nCino User Community. In the nCino User Community, users can access product guides, technical documents and support articles, engage and share best practices with other users and nCino subject matter experts through a variety of general and solution-focused discussion groups, suggest and vote for future product development ideas, and access training videos, materials and product certifications.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organization is responsible for the design, development, and testing of our solutions.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industry best practices, such as continuous integration/continuous deployment, automated testing and distributed version control, to develop new functionality and enhance our existing solutions. We provide opportunities for innovation through hackathons and new technology pilots, and we encourage customers to participate in our Product Design Programs to provide us with input on our product development roadmap. Our research and development spend was $117.3 million or 24.6% of total revenues in fiscal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the primary competition for the nCino Bank Operating System has been point solution vendors and systems developed internally by FIs. We believe our ability to provide client onboarding, loan origination, deposit account opening, analytics, portfolio management, and AI/ML on a single platform across lines of business, our deep banking domain expertise, our mortgage suite, our reputation for high-quality professional services and customer support, and our strong company culture, distinguish us from our competition. We believe our success in growing our business will depend on our ability to demonstrate to FIs that our solutions provide superior business outcomes and value to those of third-party vendors or internally developed systems. In this regard, we are likely to be assessed on a number of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breadth and depth of functionality;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ease of deployment, implementation and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total cost of ownership and return on investment;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level of customer satisfaction;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brand awareness and reputation;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cloud-based technology platform and pricing model;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quality of implementation and customer support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capability for configurability, integration, and scalability;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domain expertise in banking technology;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security and reliability;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ability of our solutions to support compliance with legal and regulatory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ability to innovate and respond to customer needs quickly;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ability to integrate with third-party applications and systems;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insights and benchmarking derived from the cross-institution data and transactions that flow through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compete favorably with respect to these factors, but we expect competition to increase as existing competitors evolve their offerings and as new companies enter the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key innovations, protocols, processes, and other inventions. We pursue the registration of our trademarks, service marks, and domain names in the U.S.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the business of fundamentally changing the way FIs operate. To transform an industry, we believe it is essential to foster a company culture that not only empowers its employees to challenge the status quo, but also emboldens them to drive change and champion customer success.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Culture is a key differentiator; our position as the worldwide leader in cloud banking depends on the people who work at nCino. For these reasons, we have built our company with a cultural foundation based on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workplace awards.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1,653 employees, of which approximately 84% were in the U.S. and 16% were in other locations around the globe. We believe our employee engagement and experience remain strong.</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Diversity, Equity, Inclusion, and Community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a global company whose employees represent a wide variety of identities across race, ethnicity, gender, sexual orientation, ability and disability, class, immigration status and so much more; we know diverse identities, experiences and perspectives make for stronger teams. We believe we can't realize our full strength unless we work collectively to acknowledge, respect, empathize with and appreciate each other's differences. To ensure that nCino remains rooted in our commitment to build a diverse, equitable and inclusive workforce, our talent acquisition strategy includes relationships with diverse professional organizations and minority colleges and universities.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further our commitment to a culture of inclusiveness, our employee-led Diversity, Equality and Inclusion Council meets regularly with nCino’s Executive Leadership Team. In addition, nCino is home to six Employee Resource Groups (“ERGs”), which serve our Veteran, LGBTQIA+, Latinx, AAPI, Black/African-American, and Women employee populations. These groups play an important role in building community and belonging among employees, providing resources to the broader nCino community, recruiting diverse talent and creating opportunities for professional development, mentorship and community outreach. Each ERG includes executive sponsorship and a connection to the Diversity, Equity and Inclusion Council.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2021, nCino hired a full-time Diversity, Equity, Inclusion and Community Involvement leader to champion these initiatives and programs, with support and oversight from nCino’s CEO and People Operations leadership. As a result, nCino has been able to support many causes and initiatives in the community, such as sponsoring the local Martin Luther King, Jr. march, volunteering with veterans’ organizations that aid military personnel in their transition back to civilian life, and being a premier sponsor of an all-girls middle/high school that focuses primarily on STEM education.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In 2021, we also announced two long-term partnerships in Wilmington, North Carolina, where nCino’s headquarters is located. The first was a sponsorship with The City of Wilmington and the Wilmington Hammerheads Youth Soccer Club to help fund a new sports complex, which will help make sports more accessible to youth in the Wilmington community. The second was a partnership with the Food Bank of Central &amp; Eastern North Carol</w:t>
      </w:r>
      <w:r>
        <w:rPr>
          <w:rFonts w:ascii="Times New Roman;sans-serif" w:hAnsi="Times New Roman;sans-serif"/>
          <w:b w:val="false"/>
          <w:color w:val="000000"/>
          <w:sz w:val="20"/>
        </w:rPr>
        <w:t xml:space="preserve">ina. </w:t>
      </w:r>
      <w:r>
        <w:rPr>
          <w:rFonts w:ascii="Times New Roman;sans-serif" w:hAnsi="Times New Roman;sans-serif"/>
          <w:b w:val="false"/>
          <w:color w:val="000000"/>
          <w:sz w:val="20"/>
          <w:shd w:fill="FFFFFF" w:val="clear"/>
        </w:rPr>
        <w:t>We committed to a donation over a five-year period</w:t>
      </w:r>
      <w:r>
        <w:rPr>
          <w:color w:val="000000"/>
        </w:rPr>
        <w:t xml:space="preserve"> </w:t>
      </w:r>
      <w:r>
        <w:rPr>
          <w:rFonts w:ascii="Times New Roman;sans-serif" w:hAnsi="Times New Roman;sans-serif"/>
          <w:b w:val="false"/>
          <w:color w:val="000000"/>
          <w:sz w:val="20"/>
        </w:rPr>
        <w:t>to support the</w:t>
      </w:r>
      <w:r>
        <w:rPr>
          <w:color w:val="000000"/>
          <w:shd w:fill="FFFFFF" w:val="clear"/>
        </w:rPr>
        <w:t xml:space="preserve"> </w:t>
      </w:r>
      <w:r>
        <w:rPr>
          <w:rFonts w:ascii="Times New Roman;sans-serif" w:hAnsi="Times New Roman;sans-serif"/>
          <w:b w:val="false"/>
          <w:color w:val="000000"/>
          <w:sz w:val="20"/>
          <w:shd w:fill="FFFFFF" w:val="clear"/>
        </w:rPr>
        <w:t>development of the nCino Hunger Solutions Center, a new facility in Wilmington that is helping the organization expand its food relief efforts and ensure substantial growth in its nutrition services, food access and distribution throughout southeastern North Carolina.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These are just some of the activities achieved through nCino's philanthropic and community service team, nVolve. Through nVolve, nCino prioritizes giving back to our communities and volunteering time by providing all global employees paid volunteer days separate from regular leave or holidays to support organizations and causes that are important to them.</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Total Reward, Well-being &amp; Employee Experience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believes that productivity is driven by employees who are actively engaged, both by their connection to our purpose and their certainty that the company cares about their well-being. We therefore invest in their financial, social and physical wellness, as well as the communities in which they work.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nCino’s future success is dependent on our ability to attract and retain highly qualified personnel, we offer competitive compensation, opportunities for equity ownership, retirement plans to help employees invest in their future and generous, country-specific benefit packages. In addition, we offer competitive parental leaves, holiday pay, student debt repayment programs and vacation time and flex holidays. nCino supports healthy lifestyles and wellness by offering office step challenges, nutritious snacks, standing and treadmill desks, financial education, mental health initiatives, cycle to work programs, on-site flu shots, recreational outings and more.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These offerings demonstrate a commitment to our employees’ well-being and play a critical role in engaging and retaining the talented individuals that comprise our organization.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Technology, Development and Cloud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deliver our solutions as highly scalable cloud computing application and platform services on a multi-tenant technology architecture. Multi-tenancy is an architectural approach that allows us to operate a single application instance for multiple organizations, treating all customers as separate and virtual isolation from each other. This approach allows us to spread the cost of delivering our services across the globe and scale our business faster than traditional software vendors while focusing our resources on building new functionality and enhancing existing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and product efforts are focused on improving and enhancing the features, functionality, performance, availability, and security of our existing service offerings, as well as developing new features, functionality, and services. We also remain focused on integrating businesses, services and technologies from acquisitions and with partners.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Global Financial Service Providers Are Highly Regulated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financial service providers and their solutions are subject to extensive and complex data, security and regulatory guidance and oversight by international, country, federal, state and other regulatory authorities. These laws and regulations are constantly evolving and affect the conduct of financial service providers operations and, as a result, the business of their technology providers. The compliance process with these regulatory requirements depends on a variety of factors, including functionality and design, the classification of the financial service provider and its services, region or country of operation, and the manner in which the financial service provider and its end users utilize the solutions. In order to ensure compliance with these laws, financial service providers may be required to implement operating policies and procedures to protect the privacy and security of their, the financial service providers', and their end users' information, and to undergo periodic audits and examinations.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Security Is Paramount for Global Financial Service Providers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risks of cybercrime and fraud have always existed in banking and financial services. As the adoption and use of digital channels increase in financial services, the incidence of cybercrime and fraud has grown substantially. The methods by which criminals seek to commit fraud are constantly changing, requiring financial services providers and their technology providers to continually modify their security protocols and best practices. Providing services to FIs requires experience, constant vigilance, and continuous investment to stay informed and guard against these ever-changing threats.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is located at www.ncino.com and our Annual Report on Form 10-K, Quarterly Reports on Form 10-Q, Current Reports on Form 8-K, and other filings with the Securities and Exchange Commission (“SEC”), and all amendments to these filings, can be obtained free of charge from our website as soon as reasonably practicable after we electronically file or furnish such materials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before making an investment decision with respect to our common stock.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Annual Report on Form 10-K. Additional risks, beyond those summarized below or discussed elsewhere in this Annual Report on Form 10-K,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We derive all of our revenues from customers in the financial services industry, and any downturn or consolidation or decrease in technology spend in the financial services industry could adversely affect our business.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which makes it difficult to predict our future operating results, and we may not achieve our expected operating results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a history of losses and while we have achieved profitability in a quarterly period, we may not be able to achieve or sustain profitability on a generally accepted accounting principles in the United States of America ("GAAP") basis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attract new customers or continue to broaden our existing customers’ use of our solutions, our revenue growth will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the market for cloud-based banking technology develops more slowly than we expect or changes in a way that we fail to anticipate, our sales would suffer and our results of operations would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be able to sustain our revenue growth rate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quarterly results may fluctuate significantly and may not fully reflect the underlying performance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accurately predict the long-term rate of customer subscription renewals or adoption of our solutions, or any resulting impact on our revenues or operating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breach of our security measures or those we rely on could result in unauthorized access to customer or their clients’ data, which may materially and adversely impact our reputation, business,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Fundamental elements of the nCino Bank Operating System are built on the Salesforce Platform and we rely on our agreement with Salesforce to provide this solution to our customers.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Because we recognize subscription revenues over the term of the contract, downturns or upturns in our business may not be reflected in our results of operations until future periods.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markets in which we participate are intensely competitive and highly fragmented, and pricing pressure, new technologies, or other competitive dynamics could adversely affect our business and results of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increased focus on the development and use of artificial intelligence and machine learning technologies in our solutions and our business, as well as our potential failure to effectively implement, use, and market these technologies, may result in reputational harm or liability, or could otherwise adversely affect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depend on data centers operated by or on behalf of Salesforce, AWS and other third parties, and any disruption in the operation of these facilities could adversely affect our business and subject us to liability.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Because one of our stockholders holds a substantial amount of our total outstanding common stock, the influence of our public stockholders over significant corporate actions is limited and sales by this stockholder could adversely affect the value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customers are highly regulated and subject to a number of challenges and risks. Our failure to comply with laws and regulations applicable to us as a technology provider to FIs could adversely affect our business and results of operations, increase costs and impose constraints on the way we conduct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presently subject to a purported stockholder derivative lawsuit alleging violation of fiduciary duties with the series of mergers in which we became the parent of nCino OpCo and SimpleNexus. The court dismissed these claims and that decision is currently under appeal. This matter or future litigation against us could adversely affect our operations and prospects, damage our reputation, and be costly and time consuming to defend.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Business and Industry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derive all of our revenues from customers in the financial services industry, and any downturn or consolidation or decrease in technology spend in the financial services industry could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revenues are derived from FIs whose industry has experienced significant pressure in recent years due to economic uncertainty, fluctuating interest rates, liquidity concerns and increased regulation. In the past, FIs have experienced consolidation, distress and failure, including in March 2023 when the FDIC took control of Silicon Valley Bank and Signature Bank due to liquidity concerns and a number of other FIs experienced turbulence and a precipitous decline in market value. It is possible these conditions may persist, deteriorate or reoccur. If as a result of these or other factors any of our customers merge with or are acquired by other entities, such as FIs that have internally developed banking technology solutions or that are not our customers or use our solutions less, we may lose business. Additionally, changes in management of our customers could result in delays or cancellations of the implementation of our solutions. It is also possible that the larger FIs that result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could have greater leverage in negotiating price or other terms with us or could decide to replace some or all of the elements of our solutions. Our business may also be materially and adversely affected by weak economic conditions in the financial services industry. Any downturn or prolonged disruption in the financial services industry may cause our customers to reduce their spending on technology or cloud-based banking applications or to seek to terminate or renegotiate their contracts with us. Moreover, economic fluctuations caused by factors such as the U.S. Federal Reserve changing interest rates may cause potential new customers and existing customers to forego or delay purchasing our solutions or reduce the amount of spend with us, which would materially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which makes it difficult to predict our future operating results, and we may not achieve our expected operating results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limited operating history at the current scale of our business,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Annual Report on Form 10-K and others we may not be able to presently identify.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while we have achieved profitability in a quarterly period, we may not be able to achieve or sustain profitability on a GAAP basis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began operations in late 2011 and have experienced net losses since inception. We generated net losses attributable to nCino of $49.4 million, $102.7 million, and $42.3 million for the fiscal years ended January 31, 2022, 2023, and 2024, respectively. Our net loss includes the results of operations of SimpleNexus from the date of acquisition on January 7, 2022. We had an accumulated deficit of $352.8 million at January 31, 2024. While we have been profitable on a GAAP basis for a quarter, we may not be able to maintain or increase our level of profitability. We intend to continue to support further growth and extend the functionality of our solutions in future periods. We will also face increased costs associated with growth and the expansion of our customer base and have seen increased costs in being a public company. Our efforts to grow our business may be more costly than we expect, and we may not be able to increase our revenues enough to offset our increased operating expenses. We expect, depending on a number of factors, to continue to incur losses on a GAAP basis as we continue to invest in product development, and we cannot predict whether or when we will achieve or sustain profitability on a GAAP basis. If we are unable to achieve and sustain profitability, the value of our business and common stock may significantly decrease.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or continue to broaden our existing customers’ use of our solutions, our revenue growth will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increase our revenues, we will need to continue to attract new customers and succeed in having our current customers expand the use of our solutions across their institution. For example, our revenue growth strategy includes increased penetration of markets outside the U.S.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 expires. Our revenue growth rates may decline or fluctuate as a result of a number of factors, including customer spending levels, customer dissatisfaction with our solutions,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solutions as their use may enable them to operate more efficiently over time. Therefore, we cannot assure you that our current customers will renew or expand their use of our solutions. If we are unable to sign new customers or retain or attract new business from current customers, our business and results of operations may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the market for cloud-based banking technology develops more slowly than we expect or changes in a way that we fail to anticipate or we fail to market our solutions effectively, our sales would suffer and our results of operations would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Use of, and reliance on, cloud-based banking technology continues to evolve and we do not know whether FIs will continue to adopt cloud-based banking technology such as the nCino Bank Operating System in the future, or whether the market will change in ways we do not anticipate. Many FIs have invested substantial personnel and financial resources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software, and these FIs may be reluctant, unwilling, or unable to convert from their existing systems to our solutions. Furthermore, these FIs may be reluctant, unwilling, or unable to use cloud-based banking technology due to various concerns, such as the security of their data and reliability of the delivery model. These concerns or other considerations may cause FIs to choose not to adopt cloud-based banking technology such as ours or to adopt them more slowly than we anticipate, either of which would adversely affect us. Our future success also depends on our ability to sell additional applications and functionality to our current and prospective customers. As we create new applications and enhance our existing solutions,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FIs are unwilling or unable to transition from their legacy systems, or if the demand for our solutions does not meet our expectations, our results of operations and financial condition will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sustain our revenue growth rate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revenues increased from $273.9 million for fiscal 2022 to $408.3 million for fiscal 2023 to $476.5 million for fiscal 2024. Our revenues include the revenues of SimpleNexus from the date of acquisition on January 7, 2022. However,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solutions, our ability to successfully sell and implement new applications, such as our retail applications, increasing competition, decreasing growth of our overall market, our inability to attract and retain a sufficient number of FI customers, concerns over data security, our failure, for any reason, to capitalize on growth opportunities, or general economic conditions. If we are unable to maintain consistent revenue growth, our business could be adversely affected, the price of our common stock could decline or otherwise be volatile and it may be difficult for us to achieve and maintain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may not fully reflect the underlying performance of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purchases of our Paycheck Protection Program ("PPP") solution during the COVID pandemic may have had the effect of accelerating demand that might have otherwise materialized as new business in later periods as well as accelerating the activation of the licenses and recognition of subscription revenues associated with the PPP solution. Further, while subscriptions with our customers generally include multi-year 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ability to retain current customers or attract new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activation, delay in activation, or cancellation of large blocks of users by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recognition of professional services revenues;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acquisitions of our customers, to the extent the acquirer elects not to continue using our solutions or reduces subscriptions to our solutions;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disruptions or distress in the FI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customer renewal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or decreases in the number of users licensed or pricing changes upon renewals of customer contracts;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network outages or security breaches;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industry, and market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seasonal variations in sales of our solutions, which have historically been highest in the fourth quarter of our fiscal year;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amount of litigation and litigation-related expenses;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of new product introductions by us or our competitors or any other change in the competitive dynamics of our industry, including consolidation among competitors, customers, or strategic partners;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expenses related to the development or acquisition of technologies or businesses and potential future charges for impairment of goodwill or intangible assets from acquired companies.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accurately predict the long-term rate of customer subscription renewals or adoption of our solutions, or any resulting impact on our revenues or operating results.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have no obligation to renew their subscriptions for our solutions after the expiration of the initial or current subscription term, and our customers, if they choose to renew at all, may renew for fewer users or on less favorable pricing terms. The average initial term of our customer agreements is three to five years for the nCino Bank Operating System and one to three years for nCino Mortgage. We have a limited operating history at the current scale of our business with respect to rates of customer subscription renewals and cannot be certain of how actual renewal rates will compare to what we anticipate. Our renewal rates may decline or fluctuate as a result of a number of factors, including our customers’ satisfaction with our pricing or our solutions or their ability to continue their operations or spending levels. If our customers do not renew their subscriptions for our solutions on similar pricing terms, our revenues may decline and our business could suffer.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the markets for our solutions develop, we may be unable to attract new customers based on the same subscription model we have used historically. Moreover, large or influential FI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faces significant risks from diverse security threats. A breach of our security measures or those we rely on could result in unauthorized access to customer or their clients’ data, which may materially and adversely impact our reputation,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elements of our solutions,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or acquire additional functionality, such as nCino Mortgage, we may gain greater access to PII. We maintain policies, procedures, and technological safeguards designed to protect the confidentiality, integrity, and availability of this information and our information technology systems. However, we and our third party service providers, frequently defend against and respond to data security incidents.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our products are flexible and complex software solutions and there is a risk that configurations of, or defects in, our solutions or errors in implementation could create vulnerabilities to security breaches. There may be continued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solutions to our customers and their clients, we rely heavily on the data security technology practices and policies adopted by these third-party providers. A vulnerability in a third-party provider’s software or systems, a failure of our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providers’ safeguards, policies or procedures, or a breach of a third-party provider’s software or systems could result in the compromise of the confidentiality, integrity, or availability of our systems or the data housed in our solutions.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Cyberattacks and other malicious internet-based activity, including increased threats from the use of artificial intelligence,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solutions. In the event our or our third-party providers’ protection efforts are unsuccessful and our systems or solutions are compromised, we could suffer substantial harm. A security breach could result in operational disruptions, loss, compromise or corruption of customer or client data or data we rely on to provide our solutions, including our analytics initiatives and offerings that impair our ability to provide our solutions and meet our customers’ requirements resulting in decreased revenues and otherwise materially negatively impacting our financial results. Also, our reputation could suffer irreparable harm, causing our current and prospective customers to decline to use our solutions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Federal and state regulations may require us or our customers to notify individuals of data security incidents involving certain types of personal data or information technology systems, and those laws and regulations continue to evolve to add more reporting requirements on faster timelines.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solutions, or subject us to third-party lawsuits, regulatory fines, or other actions or liabilities, which could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customers contractually require notification of data security compromises and include representations and warranties in their contracts with us that our solutions comply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cyber threats have evolved and continue to evolve, vulnerabilities in our solutions and information technology systems have been and will in the future be detected, and we expect to expend additional resources to continue to modify or enhance our layers of defense to remediate such vulnerabilities. System enhancements and updates create risks associated with implementing new systems and integrating them with existing ones, including risks associated with the effectiveness of our, our customers' and our third-party providers' software development lifecycles. Due to the complexity and interconnectedness of our systems and solutions, the process of enhancing our layers of defense, including addressing hardware-based vulnerabilities, can itself create a risk of systems disruptions and security issues. Customer utilization of older versions of our solutions can increase the risk and complexity of security vulnerabilities and the resources and time required to address them.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Fundamental elements of the nCino Bank Operating System are built on the Salesforce Platform and we rely on our agreement with Salesforce to provide this solution to our customers.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Fundamental elements of the nCino Bank Operating System, including our client onboarding, loan origination, and deposit account opening applications, are built on the Salesforce Platform and we rely on our agreement with Salesforce to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Salesforce Platform in conjunction with this solution, including for hosting infrastructure and data center operations. Any termination of our relationship with Salesforce would result in a materially adverse impact on our business model.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 with Salesforce expires on January 31, 2031,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this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they are not, our business and operating results may be materially and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Salesforce has the right to terminate their agreement with us in certain circumstances, including in the event of a material breach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 expiration or termination of our agreement with Salesforce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such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Privacy and data security concerns, data collection and transfer restrictions and related domestic or foreign regulations may limit the use and adoption of our solutions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Personal privacy, information security, and data protection are significant issues in the U.S., the European Union (“EU”), the United Kingdom ("UK") and a number of other jurisdictions where we offer our solutions.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there will continue to be new proposed and adopted laws, regulations, and industry standards concerning privacy, data protection, and information security in the U.S., the EU, and other jurisdictions in which we operate. For instance, the California Consumer Privacy Act (the "CCPA") became effective on January 1, 2020. The CCPA gives California residents expanded rights to access and delete their personal information, receive detailed information about how their personal information is used and shared by requiring covered companies to provide new disclosures to California consumers (as that term is broadly defined), and provide such consumers rights to opt-out of certain sales of personal information. The CCPA provides for potential civil penalties for violations, as well as a private right of action for data breaches that is expected to increase data breach litigation. The California Privacy Rights Act (the "CPRA"), which expands the CCPA, passed in November 2020 and went into effect on January 1, 2023, potentially requiring still to be determined additional compliance investment and potential business process changes. Among other things, the CPRA imposes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which could result in increased privacy and information security enforcement. Additionally, other U.S. states are proposing and enacting laws and regulations that impose obligations similar to the CCPA or that otherwise involve significant obligations and restrictions. If passed, such laws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 additional resources to ensure compliance, and may have potentially conflicting requirements that would make compliance challenging.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Privacy and cybersecurity laws continue to evolve to impose ever stricter standards for the collection, use, dissemination and security of personally identifiable information, including financial information. Actual, potential, or perceived violations of such laws could result in regulatory investigations, fines, orders to cease/change our use of such technologies and processing of personal data, as well as civil claims including class actions, reputational damage and ongoing compliance costs, any of which could harm our business, results of operations and financial condition. Moreover, federal, and state regulation around artificial intelligence may be expected in the near future, including developments in response to the recent Executive Order on Safe, Secure, and Trustworthy Artificial Intelligence issued on October 30,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 European Economic Area (the "EEA") (comprised of the EU Member States and Iceland, Liechtenstein and Norway) adopted the General Data Protection Regulation (2016/679) (the "EU GDPR") in May 2018 and the UK implemented the EU GDPR by virtue of section 3 of the European Union (Withdrawal) Act 2018 which sits alongside the UK Data Protection Act 2018 (known as the "UK GDPR", and together with the "EU GDPR", the "GDPR"). The GDPR has a direct effect where an entity is established in the EEA or the UK and has extra-territorial effect where an entity established outside of the EEA or UK processes personal data in relation to the offering of goods or services to individuals in the EEA and/or the UK or the monitoring of their behavior. The GDPR imposes a number of obligations on controllers, including, among others: (i) accountability and transparency requirements which require controllers to demonstrate and record compliance with the GDPR and to provide more detailed information to data subjects regarding processing; (ii) enhanced requirements for obtaining valid consent where consent is the lawful basis for processing; (iii) obligations to consider data protection as any new products or services are developed and to limit the amount of personal data processed; (iv) obligations to comply with data protection rights of data subjects including a right of access to and rectification of personal data, a right to obtain restriction of processing or to object to processing of personal data and a right to ask for a copy of personal data to be provided to a third party in a useable format and erasing personal data in certain circumstances and the right not to be subject to solely automated decision-making; (v) obligations to implement appropriate technical and organizational security measures to safeguard personal data; and (vi) obligations to report certain personal data breaches to the relevant supervisory authority without undue delay (and no later than 72 hours where feasible) and affected individuals, where the personal data breach is likely to result in a high risk to their rights and freedoms. Processors are required to notify the controller without undue delay after becoming aware of a personal data breach.</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EU GDPR prohibits the international transfer of personal data from the EEA to countries outside of the EEA unless made to a country deemed to have adequate data privacy laws by the European Commission or a data transfer mechanism in accordance with the EU GDPR has been put in place or a derogation under the EU GDPR can be relied on. In July 2020, the Court of Justice of the European Union (the "CJEU") in its Schrems II ruling invalidated the EU-U.S. Privacy Shield framework, a self-certification mechanism that facilitated the lawful transfer of personal data from the EEA to the U.S., with immediate effect. The CJEU upheld the validity of standard contractual clauses ("SCCs") as a legal mechanism to transfer personal data but companies relying on SCCs will need to carry out a transfer privacy impact assessment ("TIA")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 and U.S. governments have recently advanced the EU-U.S. Data Privacy Framework to foster EU-to-U.S. data transfers and address the concerns raised in the aforementioned CJEU decision, but it is uncertain whether this framework will be overturned in court like the previous two EU-U.S. bilateral cross-border transfer mechanism to replace the EU-US Privacy Shield framework. The UK GDPR imposes similar restrictions on transfers of personal data from the UK to jurisdictions that the UK does not consider adequate. The UK Government has published its own form of the EU SCCs, known as the International Data Transfer Agreement and an International Data Transfer Addendum to the new EU SCCs. The UK Information Commissioner's Office ("ICO") has also published its own version of the TIA and guidance on international transfers,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 This may have implications for our cross-border data flows and may result in additional compliance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also introduces fines of up to €20 million (under the EU GDPR) or £17.5 million (under the UK GDPR) or up to 4% of the annual global revenue of the noncompliant company, whichever is greater, for serious violations of certain of the GDPR’s requirements. The GDPR identifies a list of points to consider when determining the level of fines to impose (including the nature, gravity and duration of the infringement). Data subjects also have a right to compensation for financial or non-financial losses (e.g., distress). Complying with the GDPR may cause us to incur substantial operational and compliance costs or require us to change our business practices. Despite our efforts to bring practices into compliance with the GDPR,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not be successful either due to internal or external factors such as resource allocation limitations or a lack of vendor cooperation. Non-compliance could result in proceedings against us by governmental entities, regulators, customers, data subjects, suppliers, vendors or other parties. Further, there is a risk that the measures will not be implemented correctly or that individuals within the business will not be fully compliant with the new procedures. If there are breaches of these measures, we could face significant administrative and monetary sanctions as well as reputational damage which may have a material adverse effect on our operations, financial condition and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E.U. has also proposed the draft ePrivacy Regulation which, once finalized and in effect, will replace both the ePrivacy Directive and all the national laws implementing this Directive. The ePrivacy Regulation, as proposed in its current form, would impose strict opt-in marketing rules, change rules about the use of cookies, web beacons, and related technologies, and significantly increase penalties for violations. It would also retain the additional consent standards as required under the EU GDPR. Such regulations may have a negative effect on businesses, including ours, that collect, process, and use personal data in the EU and UK, including online usage information for consumer acquisition and marketing and may increase the potential civil liability and cost of operating a business that collects, processes, or uses such information and undertakes online marketing.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a cybersecurity perspective, the GDPR does not provide for a specific set of cybersecurity requirements or measures to be implemented, but rather requires a controller or processor to implement appropriate cyber and data security measures in accordance with the then-current risk, the state of the art, the costs of implementation and the nature, scope, context and purposes of the processing. The GDPR however does explicitly require that controllers notify personal data breaches as described above.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17, 2023, the EU Network and Information Systems Security 2 Directive (“NISD2”) entered into force and will take full effect following implementation into EU Member State law (i.e., by October 17, 2024). Under the NISD2, more stringent cybersecurity and incident reporting requirements are imposed on ‘essential’ and ‘important’ entities, which include information and communication technology (“ICT”) managed service providers.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NISD2 states that any maximum fine which national implementing law provides for should at least be set at €10 million or 2% of total worldwide turnover, whichever is higher, where essential entities are concerned. Other sanctions may include (i) a temporary suspension to provide services in the EU (by suspending relevant authorizations/certifications); (ii) an order to make public certain elements of the infringement and/or inform customers; and (iii) injunctions to immediately cease infringing conduct. Importantly, NISD2 also provides that senior members of staff can be held personally liable, and face administrative fines or be temporarily suspended from exercising managerial functions at the legal representative or chief executive officer level.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2023, the EU Digital Operational Resilience Act (“DORA”) entered into force and will apply from January 17, 2025. DORA imposes regulatory obligations to reinforce the digital operational resilience of entities operating in the financial services industry, and to adequately manage and remediate risks related to the engagement of ICT third-party service providers. DORA only imposes direct regulatory obligations on ICT third-party service providers that are considered ‘critical’ within the meaning of DORA. Non-critical ICT third-party service providers are only indirectly impacted by DORA, by virtue of the mandatory contractual terms that DORA requires financial entities to implement with ICT third-party service providers.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DORA does not provide for minimum or maximum monetary sanctions but empowers EU Member State competent authorities to enforce DORA and determine the appropriate sanction on the basis of the factors set out in DORA, including the gravity and duration of the infringement. Sanctions may be administrative or criminal in nature, and DORA also provides that individual members of the management body can be held personally liable for any non-compliance.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resources, or the incurrence of fines, penalties, or other liabilities. There is also a risk that we could be impacted by a cybersecurity incident that results in loss or unauthorized disclosure of personal data, potentially resulting in us facing harms similar to those described above. In addition, any such action, particularly to the extent we were found to be guilty of violations or otherwise liable for damages, would damage our reputation and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we recognize subscription revenues over the term of the contract, downturns or upturns in our business may not be reflected in our results of operations until future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recognize subscription revenues ratably over the terms of our customer contracts. Most of the subscription revenues we report each quarter are derived from the recognition of deferred revenue relating to subscriptions activated in previous quarters. Consequently, a reduction in activated subscriptions in any single quarter may only have a small impact on our subscription revenues for that quarter. However, such a decline will negatively affect our subscription revenues in future quarters. Accordingly, the effect of significant downturns in sales or market acceptance of our solutions may not be apparent in our current-quarter revenues or reflected in our results of operations until future periods.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markets in which we participate are intensely competitive and highly fragmented, and pricing pressure, new technologies or other competitive dynamics could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compete with providers of technology and services in the financial services industry, primarily point solution vendors that focus on building functionality that competes with specific components of our solutions. From time to time, we also compete with systems internally developed by FIs.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increased focus on the development and use of artificial intelligence and machine learning technologies in our solutions and our business, as well as our potential failure to effectively implement, use, and market these technologies, may result in reputational harm or liability, or could otherwise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envision a future where artificial intelligence and machine learning is embedded throughout nCino’s platform to help our customers maximize their productivity. We have incorporated and may continue to incorporate AI/ML solutions and features into our solutions, and otherwise within our business, and these solutions and features may become more important to our operations or to our future growth over time. There can be no assurance that we will realize the desired or anticipated benefits from AI/ML, or at all, and we may fail to properly implement or market our AI/ML solutions and features. Our competitors may incorporate AI/ML into their products, offerings, and solutions more quickly or more successfully than we do, which could impair our ability to compete effectively, and adversely affect our results of operations. Additionally, our AI/ML solutions and features may expose us to additional claims, demands, and proceedings by private parties and regulatory authorities and subject us to legal liability as well as brand and reputational harm. The legal, regulatory, and policy environments around AI/ML are evolving rapidly, and we may become subject to new legal and other obligations in connection with our use of AI/ML, which could require us to make significant changes to our policies and practices, necessitating expenditure of significant time, expense, and other resources. For example, in the EU/UK, laws and regulation regarding AI are developing at a fast pace. On March 13, 2024 the EU adopted its standalone law to govern the offering and use of AI systems in the EU (the "AI Act") and the UK intends to regulate AI via a sector-specific, principle-centered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depend on data centers operated by or on behalf of Salesforce, Amazon Web Services ("AWS"), and other third parties, and any disruption in the operation of these facilities could adversely affect our business and subject us to liability.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are primarily hosted in data centers operated by or on behalf of Salesforce, AWS,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consider potential strategic transactions, including acquisitions of, or investments in, businesses, technologies, services, solutions, and other assets. For example, in March 2024 we announced our acquisition of DocFox and in fiscal 2022, we acquired SimpleNexus, our largest acquisition to date. We also may enter into relationships with other businesses to expand our solutions,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For instance, we incurred significant costs in connection with the SimpleNexus acquisition.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we may not achieve the anticipated benefits from the acquired business due to a number of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inability to integrate or benefit from acquired technologies or services;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unanticipated costs or liabilities associated with the acquisition;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incurrence of acquisition-related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difficulty integrating the technology, accounting systems, operations, control environments, and personnel of the acquired business and integrating the acquired business or its employees into our culture;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and additional expenses associated with supporting legacy solutions and infrastructure of the acquired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difficulty converting the customers of the acquired business to our solutions and contract terms, including disparities in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costs for the support or professional services model of the acquired company;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management’s attention and other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effects to our existing business relationships with business partners and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issuance of additional equity securities that could dilute the ownership interests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incurrence of debt on terms unfavorable to us or that we are unable to repay;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incurrence of substantial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retaining key employees of the acquired business;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tax consequences, substantial depreciation, or deferred compensation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customers are highly regulated and subject to a number of challenges and risks. Our failure to comply with laws and regulations applicable to us as a technology provider to FIs could adversely affect our business and results of operations, increase costs, and impose constraints on the way we conduct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and prospective customers are highly regulated and are generally required to comply with stringent regulations in connection with performing business functions that our solutions address. As a provider of technology to FIs, we have been, and expect to continue to be, examined on a periodic basis by various regulatory agencies and may be required to review certain of our suppliers and partners. In addition, while much of our operations are not directly subject to the same regulations applicable to FIs,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("GLBA") related to the privacy of consumer information and may be subject to other privacy and data security laws because of the solutions we provide to FIs. The GLBA includes limitations on FI's disclosure of nonpublic personal information about a consumer to nonaffiliated third parties, in certain circumstances requiring FIs to limit the use and further disclosure of nonpublic personal information to nonaffiliated third parties and requiring FIs to safeguard nonpublic personal information. Banking regulations for information security and breach notification also impose obligations on us due to our relationships with customers that increase our information security obligations and customers may impose additional information security standards upon us, such as those relating to the New York Department of Financial Services Cybersecurity Regulation. Matters subject to review and examination by federal and state FI regulatory agencies and external auditors include our internal information technology controls in connection with our performance of data processing services, the agreements giving rise to those processing activities, and the design of our solutions. Any inability to satisfy these examinations and maintain compliance with applicable regulations could adversely affect our ability to conduct our business, including attracting and maintaining customers. If we have to make changes to our internal processes and solutions as result of these regulations, we could be required to invest substantial additional time and funds and divert time and resources from other corporate purposes to remedy any identified deficiency.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evolving, complex, and often unpredictable regulatory environment in which our customers operate could result in our failure to provide compliant solutions, which could result in customers not purchasing our solutions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Any legal proceedings against us could adversely affect our operations and prospects, damage our reputation, and be costly and time-consuming to defend.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presently subject to a purported stockholder derivative lawsuit alleging violation of fiduciary duties with the series of mergers in which we became the parent of nCino OpCo and SimpleNexus. The court dismissed these claims and that decision is currently under appeal. We may, in the future, become subject, from time to time, to other legal proceedings and claims that arise in the ordinary course of business, such as claims brought by our customers in connection with commercial disputes or employment claims made by current or former employees. Legal proceedings might result in damages and harm to our operations and prospects, reputational damage,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maintain it as we grow, we could lose the innovation, creativity and teamwork fostered by our culture, and our business may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corporate culture is one of our fundamental strengths, as we believe it enables us to attract and retain top talent and deliver superior results for our customers. As we grow, we may find it difficult to preserve our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encounter implementation challenges, including in situations in which we rely on SIs, which would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face unexpected challenges related to the complexity of our customers’ implementation and configuration requirements. Implementation of our solutions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solutions. We also leverage the services of SIs, including Accenture, Deloitte, PwC, and West Monroe Partners, among others, to implement and configure the nCino Bank Operating System for our larger FI customers, while we have historically performed professional services for smaller FIs ourselves. While SI partners generally contract directly with our customers, any failure or delay by the SI partners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our business has grown rapidly, which has resulted in a large increase in our employee headcount, expansion of our infrastructure, enhancement of our internal systems, and other significant changes and additional complexities. Our revenues increased from $273.9 million for fiscal 2022 to $408.3 million for fiscal 2023 to $476.5 million for fiscal 2024. Our revenues include the revenues of SimpleNexus from the date of acquisition on January 7, 2022. Our total number of employees increased from 436 as of January 31, 2018 to 1,653 as of January 31, 2024. Managing and sustaining a growing workforce and customer base geographically-dispersed in the U.S. and internationally requires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also have to expand and enhance the capabilities of our sales, relationship management, implementation, customer service, research and development, and other personnel to support our growth and continue to achieve high levels of customer service and satisfaction. Our success depends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Defects, errors, or other performance problems in our solutions could harm our reputation, result in significant costs to us, impair our ability to sell our solutions, and subject us to substantial liability.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are complex and may contain defects or errors when implemented or when new functionality is released. Despite extensive testing, from time to time we have discovered, and may in the future discover, defects or errors in our solutions. Any performance problems or defects in our solutions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changes in the industry in which we operate, our ability to attract and retain customers could be impaired and our competitive position could be harmed.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solutions, our customers could migrate to competitors who may offer a broader or more attractive range of products and services. For example, in fiscal 2022, we launched our Commercial Pricing and Profitability solution, powered by nIQ, and we may fail to achieve market acceptance of this offering. Unexpected delays in releasing new or enhanced versions of our solutions,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solutions successfully or introduce and gain market acceptance of new applications or improvements in a timely manner, or at all. Additionally, we must continually modify and enhance our solutions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leverage third-party software, content, and services for use with our solutions. Performance issues, errors and defects, or failure to successfully integrate or license necessary third-party software, content, or services, could cause delays, errors, or failures of our solutions, increases in our expenses, and reductions in our sales, which could materially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use software and content licensed from, and services provided by, a variety of third parties in connection with the operation of our solutions. Any performance issues, errors, bugs, or defects in third-party software, content, or services could result in errors or a failure of our solutions, which could adversely affect our business and results of operations. In the future, we might need to license other software, content, or services to enhance our solutions and meet evolving customer demands and requirements. Any limitations in our ability to use third-party software, content,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 and integrated into our solutions.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fail to successfully expand internationally. In addition, sales to customers outside the U.S. or with international operations expose us to risks inherent in international sales, which may include a marked increase in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years ended January 31, 2022, 2023, and 2024, sales to customers outside the U.S. accounted for 15.9%, 15.1% and 18.7%, respectively, of our total revenues. Our revenues include the revenues of SimpleNexus from the date of acquisition on January 7, 2022. A key element of our growth strategy is to further expand our international operations and worldwide customer base. We have expended significant resources to build out our sales and professional services organizations outside of the U.S. and we may not realize a suitable return on this investment in the near future, if at all. We have limited operating experience in international markets, and we cannot assure you that our international expansion efforts will be successful. Our experience in the U.S. may not be relevant to our ability to expand in any international market.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 international markets requires significant resources and management attention and subjects us to regulatory, economic, and political risks that are different from those in the U.S. Export control regulations in the U.S. may increasingly be implicated in our operations as we expand internationally. These regulations may limit the export of our solutions and provision of our solutions outside of the U.S.,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solutions in international markets, or, in some cases, prevent the export or import of our solutions to certain countries, regions, governments, persons, or entities altogether, which could adversely affect our business,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face risks in doing business internationally that could adversely affect our business,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unanticipated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localize and adapt our solutions for specific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complying with varying and sometimes conflicting data privacy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in staffing and managing foreign operations, including employment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unstable regional, economic, or political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pricing environments, longer sales cycles, and collections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new and different sources of competition;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weaker protection for intellectual property and other legal rights than in the U.S. and practical difficulties in enforcing intellectual property and other rights outside of the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laws and business practices favoring local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challenges related to the complexity of multiple, conflicting, and changing governmental laws and regulations, including employment, tax, and anti-bribery laws and regulations;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restrictions on the transfer of funds;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tax consequences.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failure to attract and retain additional qualified personnel could prevent us from executing our business strategy.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effectively expand our sales capabilities could harm our ability to increase our customer base.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our customer base and expanding customer adoption within and across business lines will depend, to a significant extent, on our ability to effectively expand our sales and marketing operations and activities. We plan to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provide effective customer training on our solutions and high-quality customer support, our business and reputation would suffer.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Effective customer training and high-quality, ongoing customer support are critical to the successful marketing, sale, and adoption of our solutions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solutions, quickly resolve any post-implementation matters, and provide effective ongoing customer support and training, our ability to expand sales to existing and future customers and our reputation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effectively integrate our solutions with other systems used by our customers, or if there are performance issues with such third-party systems, our solutions will not operate effectively and our business and reputation will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integrate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solutions, and our business and reputation may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sales cycle can be unpredictable, time-consuming and costly.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sales process involves educating prospective customers and existing customers about the benefits and technical capabilities of our solutions. Prospective customers often undertake a prolonged evaluation process, which typically involves not only our solutions, but also those of our competitors. Our sales cycles are typically lengthy, generally ranging from six to nine months for smaller FIs and 12 to 18 months or more for larger FIs.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protect our proprietary technology and intellectual property rights could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U.S. and other jurisdictions, all of which provide only limited protection and may not now or in the future provide us with a competitive advantage.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we had 12 issued patents and one patent application pending relating to the nCino Bank Operating System in the U.S.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U.S. and certain other countries and we have registrations and/or pending applications for additional marks including “nIQ” in the U.S.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solutions, including open source software and other software available on commercially reasonable terms. We cannot assure you that such third parties will maintain such software or continue to make it available. We also rely on confidentiality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agreements, consulting agreements, work-for-hire agreements, and invention assignment agreements with our employees, consultants, and others.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U.S. and where mechanisms for enforcement of intellectual property rights may be weak. We may be unable to determine the extent of any unauthorized use or infringement of our solutions, technologies, or intellectual property rights.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use “open source” software in our solutions, which may restrict how we use or distribute our solutions, require that we release the source code of certain software subject to open source licenses, or subject us to litigation or other actions that could adversely affect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use in our solutions,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solutions, that our programmers have not incorporated open source software into our solutions, or that they will not do so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solutions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solutions. As a result of using open source software subject to such licenses, we could be required to release proprietary source code, pay damages, re-engineer our solutions, limit or discontinue sales, or take other remedial action, any of which could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Assertions by third parties of infringement or other violations by us of their intellectual property rights, whether or not correct, could result in significant costs and adversely affect our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solutions utilize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successfully defend third-party intellectual property claims. An adverse outcome of a dispute may require us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pay substantial damages, including treble damages, if we are found to have willfully infringed a third party’s patents or copyrights;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cease developing or selling any elements of our solutions that rely on technology that is alleged to infringe or misappropriate the intellectual property of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enter into potentially unfavorable royalty or license agreements in order to obtain the right to use necessary technologies or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expend additional development resources to attempt to redesign our solutions or otherwise develop non-infringing technology, which may not be successful;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indemnify our customers and other third parties.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license we may enter into as a result of litigation may be non-exclusive, and therefore our competitors may have access to the same technology licensed to us. Any of the foregoing events could adversely affect our business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funded our operations since inception primarily through equity financings and receipts generated from customers. During our fiscal year 2023, we supplemented our liquidity with a revolving credit facility of up to $50.0 million (the "Credit Facility"). As of January 31, 2024, we had no amounts outstanding under our Credit Facility. In March 2024, we amended our Credit Facility and increased our borrowing availability to $100.0 million. We cannot be certain when or if our operations will generate sufficient cash to fund our ongoing operations or the growth of our business. 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adversely affect our business and results of operations. If we incur debt, including under the revolving line of credit, the lenders would have rights senior to holders of common stock to make claims on our assets, and the terms of any future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tax years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pre-change tax attributes and any net unrealized built-in losses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future transactions in our stock, then we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limited in our ability to use our NOL carryforwards, pre-change tax attributes or deductions to offset our future taxable income, if any.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Amendments to existing tax laws, rules, or regulations, or enactment of new unfavorable tax laws, rules, or regulations could have an adverse effect on our business and operating results.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the CARES Act was signed into law,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still require guidance through the issuance and/or finalization of regulations by the U.S. Treasury Department in order to fully assess their effects, and there may be substantial delays before such regulations are promulgated and/or finalized, increasing the uncertainty as to the ultimate effects of the Tax Cuts and Jobs Act on us and our stockholders. There also may be technical corrections legislation or other legislative changes proposed with respect to the Tax Cuts and Jobs Act, the effects of which cannot be predicted and may be adverse to us or our stockholders.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Relating to Ownership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common stock may be volatile or may decline steeply or suddenly regardless of our operating performance and we may not be able to meet investor or analyst expectations and you may lose all or part of your investment.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may fluctuate or decline significantly in response to numerous factors, many of which are beyond our control,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variations between our actual operating results and the expectations of securities analysts, investors, and the financial community;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actions of securities analysts who initiate or maintain coverage of us, changes in financial estimates by any securities analysts who follow us,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shares of our common stock being sold into the market by us or our existing stockholders, or the anticipation of such sales;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hedging activities by market participants;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companies in our industry, including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including as a result of trends in the economy as a whole, including inflation and rising interest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lawsuits threatened or filed against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in new legislation and pending lawsuits or regulatory actions, including interim or final rulings by judicial or regulatory bodies;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 events or factors, political conditions, election cycles, war or incidents of terrorism, or responses to these events.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Because one of our stockholders holds a substantial amount of our total outstanding common stock, the influence of our public stockholders over significant corporate actions is limited and sales by this stockholder could adversely affect the value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total number of shares of our common stock outstanding as of January 31, 2024, entities affiliated with Insight Partners (“Insight Partners”) holds approximately 34% of our total outstanding common stock. As a result, Insight Partners has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Sales of our common stock by Insight Partners could have an immediate and substantial adverse effect on the value of our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 and, as a result, your ability to achieve a return on your investment will depend on appreciation in the price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securities issuances could result in significant dilution to our existing stockholders and impair the market price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bylaws could make a merger, tender offer, or proxy contest difficult, thereby depressing the trading price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establish a classified board of directors so that not all members of our board of directors are elected at one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permit the board of directors to establish the number of directors and fill any vacancies and newly-created directorships;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provide that directors may only be removed for cause;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amended and restated certificate of incorporation and bylaws;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prohibit stockholders from calling special meetings of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provide that the board of directors is expressly authorized to make, alter, or repeal our bylaws;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 the forum for certain litigation against us to Delaware;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Uncertain or weakened economic conditions, including inflation and rising interest rates and geopolitical uncertainties, may adversely affect our industry, business,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on economic conditions, which may be challenging at various times in the future. Financial developments, monetary and other developments seemingly unrelated to us or our industry may adversely affect us. For example, the higher interest rate environment in the U.S., undertaken as a means to manage inflation, has had an impact on the real estate market in the U.S. and specifically, the demand for mortgage and mortgage-related products and services, which has had a negative impact on our nCino Mortgage business and may continue to adversely impact that business to the extent the higher interest rate environment persists.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including uncertainty as a result of geopolitical events such as the conflicts in and around Ukraine, the Middle East and other parts of the world. We cannot predict the timing, strength, or duration of the current or any future potential economic slowdown in the U.S. or globally. These conditions affect the rate of technology spending generally and could adversely affect our customers’ ability or willingness to purchase our solutions, delay prospective customers’ purchasing decisions, reduce the value or duration of their subscriptions, or affect renewal rates, any of which could adversely affect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Natural or man-made disasters and other similar events may significantly disrupt our business, and negatively impact our business,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and AWS, may be harmed or rendered inoperable by such natural or man-made disasters, which may cause disruptions, difficulties, or otherwise materially and adversely affect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Failure to maintain the adequacy of internal controls over financial reporting may adversely affect investor confidence in our company and, as a result, the value of our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controls over financial reporting. Our independent registered public accounting firm is required to annually attest to the effectiveness of our internal controls over financial reporting. We are required to disclose significant changes made in our internal controls procedure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compliance with Section 404 has required, and will continue to require, that we incur substantial accounting expense and expend significant management efforts.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evaluation and testing process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and operating results. If we are unable to conclude that our internal controls over financial reporting are effective, or if our independent registered public accounting firm determines we have a material weakness or significant deficiency in our internal controls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controls over financial reporting, or to implement or maintain other effective control systems required of public companies, could also restrict our future access to the capital markets.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as a public company requires us to incur substantial costs and requires substantial management attention.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have incurred and will continue to incur substantial legal, accounting, and other expenses.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these requirements, we established and maintain effective disclosure and financial controls and make changes to our corporate governance practices. Compliance with these requirements has and will continue to increase our legal and financial compliance costs and will make some activities more time-consuming.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terms of our Credit Facility contain restrictive covenants that may limit our operating flexibility.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11, 2022, we entered into Credit Agreement by and among the Company, nCino OpCo, Inc., certain subsidiaries of the Company as guarantors, and Bank of America, N.A. as lender, as amended by that certain First Amendment, dated February 9, 2024, pursuant to which we received access to a revolving Credit Facility of up to $50.0 million. As of January 31, 2024, we had no amounts outstanding under our Credit Facility. In March 2024, we amended our Credit Facility and increased our borrowing availability to $100.0 million. The Credit Facility contains affirmative and restrictive covenants that limit our operating ability including to, among other things, dispose of assets, merge with other companies, incur additional indebtedness and liens, engage in new businesses, acquire certain other companies and modify organizational documents. In addition, the Credit Facility is secured by substantially all of our personal property, and the Credit Facility requires us to satisfy certain covenants, including maintaining certain senior secured leverage and interest coverage ratios under the Credit Facility. As a result of these restrictions, we will be limited as to how we conduct our business and we may be unable to raise additional debt or equity financing to compete effectively or to take advantage of new business opportunities.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our Credit Facility would adversely affect our business. Further, at any time, if we violate the terms of the Credit Facility or otherwise fail to meet our covenants, we may not be able to obtain a waiver from the lenders under satisfactory terms, if at all, which would limit our operating flexibility and/or liquidity and which would have an adverse effect on our business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nCino’s Enterprise Risk Management Program includes a cybersecurity risk management process and a formal Information Security Management System ("ISMS") as foundational components of the program. We routinely assess risks that could affect the organization's ability to meet its business objectives and provide reliable services to our customers. nCino’s Chief Information Security Officer ("CISO") is responsible for identifying, assessing, and managing material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risks. nCino’s CISO brings over 25 years of experience in security and risk management to the company and takes the lead on reporting risk to senior management and nCino’s Board of Directors.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conducts annual cybersecurity risk and threat assessments which include detailed control analyses for measuring both inherent and residual risk factors. These assessments are performed by nCino Information Security as part of the ISO27001 ISMS requirements. Our annual risk assessment is performed by using the nCino ISO27001 risk assessment as a basis for risk identification, with additional assessments to address risks that threaten the achievement of the control objectives as appropriate. Threats to security, confidentiality, and availability are identified and assessed as part of our annual and routine risk assessments.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nCino’s CISO reports cyber security risk assessment results at Disclosure Committee Meetings, Board and Audit Committee Meetings, and executive subcommittees specializing in cyber security risk management (Risk Information Security Committee). nCino maintains a documented process for when and by whom senior management is informed of a cybersecurity incident and when such information will be reported to affected parties. These processes are detailed within our Incident Response Plan which is regularly reviewed and updated by the information security team.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Wilmington, North Carolina where we lease several facilities encompassing approximately 224,000 square feet plus a 648-space parking deck. The leases relating to approximately 180,000 square feet of those facilities plus an adjacent parking deck expire in October 2037, each with options to extend and a purchase option that expires if not exercised on or before November 30, 2026. We have additional domestic offices in the U.S. and international offices in the United Kingdom, Australia, Canada, Japan, Spain and France. All of our offices are leased, and we do not own any real property.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facilities are adequate for our current needs. We believe that we will be able to obtain additional space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and may from time to time in the future be involved in, various litigation matters and subject to claims that arise in the ordinary course of business. For information regarding legal proceedings, see Note 16 "Commitments and Contingencies" of the notes to our consolidated financial statements included in Part II, Item 8 of this Annual Report on Form 10-K, which is incorporated by reference into this Part I, Item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“NCNO” since July 14, 2020. Prior to that date, there was no public trading market for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there were 141 holders of record of our common stock. Because many of such shares are held by brokers and other institutions on behalf of stockholders, we are unable to estimate the total number of stockholders represented by these record 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 Policy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return to our stockholders on our common stock between July 14, 2020 (the date our common stock commenced trading on the Nasdaq Global Select Market) through January 31, 2024 in comparison to the Russell 2000 Index, and the S&amp;P 1500 Application Software Index. The graph assumes $100 was invested in our common stock on July 14, 2020, the Russell 2000 Index, and the S&amp;P 1500 Application Software Index and assumes the reinvestment of any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Comparison of Cumulative Total Return of nCino, Inc.</w:t>
      </w:r>
    </w:p>
    <w:p>
      <w:pPr>
        <w:pStyle w:val="TextBody"/>
        <w:bidi w:val="0"/>
        <w:spacing w:before="240" w:after="283"/>
        <w:jc w:val="center"/>
        <w:rPr/>
      </w:pPr>
      <w:r>
        <w:rPr/>
        <w:drawing>
          <wp:inline distT="0" distB="0" distL="0" distR="0">
            <wp:extent cx="6477000" cy="3619500"/>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6477000" cy="3619500"/>
                    </a:xfrm>
                    <a:prstGeom prst="rect">
                      <a:avLst/>
                    </a:prstGeom>
                  </pic:spPr>
                </pic:pic>
              </a:graphicData>
            </a:graphic>
          </wp:inline>
        </w:drawing>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Part III, Item 12 “Security Ownership of Certain Beneficial Owners and Management and Related Stockholder Matters” for more information regarding securities authorized for issuance.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of our financial condition and results of operations should be read together with our consolidated financial statements and related notes and other financial information included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the section titled “Risk Factors.” Our historical results are not necessarily indicative of the results that may be expected for any period in the future. Our fiscal year ends on January 31 of each year and references in this Annual Report on Form 10-K to a fiscal year mean the year in which that fiscal year ends. For example, references in this Annual Report on Form 10-K to "fiscal 2024" refer to the fiscal year ended January 31, 2024.</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section of this Form 10-K discusses our financial condition and results of operations for fiscal 2024 and 2023 and year-to-year comparisons between fiscal 2024 and fiscal 2023. Discussions of fiscal 2022 items and year-to-year comparisons between fiscal 2023 and fiscal 2022 that are not included in this Form 10-K can be found in Part II, Item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color w:val="000000"/>
        </w:rPr>
      </w:pPr>
      <w:r>
        <w:rPr>
          <w:color w:val="000000"/>
        </w:rPr>
        <w:t>“</w:t>
      </w:r>
      <w:r>
        <w:rPr>
          <w:rFonts w:ascii="Times New Roman;sans-serif" w:hAnsi="Times New Roman;sans-serif"/>
          <w:b w:val="false"/>
          <w:i/>
          <w:color w:val="000000"/>
          <w:sz w:val="20"/>
        </w:rPr>
        <w:t>Management's Discussion and Analysis of Financial Condition and Results of Operations” of our Annual Report on Form 10-K for the fiscal year ended January 31, 2023, filed with the SEC on March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Through its single software-as-a-service ("SaaS") platform, nCino helps financial institutions ("FI") serving corporate and commercial, small business, consumer, and mortgage customers modernize and more effectively onboard clients, open accounts, make loans and navigate the loan lifecycle, and effectively monitor and manage their portfolio. Transforming how FIs operate through innovation, reputation and speed, nCino is partnered with more than 1,800 customers globally. With the nCino Bank Operating System, FIs can: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digitally serve their clients across lines of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efficiency,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elevate employee experience and performance,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risk and compliance more effectively,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 an active data, audit, and business intelligence hub,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embrace the value of intelligent automation and uncover data-driven insights.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was originally founded in a bank to improve that FI’s operations and client service. After realizing that the same problems—cumbersome legacy technology, fragmented data, disconnected business functions, and a disengaged workforce made it difficult to maintain relevancy in their clients' lives—were endemic across the financial services industry, nCino spun out as a separate company in late 2011. This heritage is the foundation of our deep banking domain expertise, which differentiates us, continues to drive our strategy, and makes us uniquely qualified to help FIs create new efficiencies by providing an end-to-end platform that spans business lines and combines capabilities for a seamless experience.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nCino Bank Operating System was initially designed to help transform commercial and small business lending for community and regional banks. This solution was introduced to enterprise banks in the United States ("U.S.") in 2014, and then internationally in 2017, and has subsequently expanded across North America, Europe, the Middle East, and Asia-Pacific ("APAC"). Throughout this market expansion, we broadened the nCino Bank Operating System by adding functionality for consumer lending, client onboarding, deposit account opening, analytics and artificial intelligence and machine learning. In fiscal 2020, we acquired nCino Portfolio Analytics, LLC (formerly Visible Equity) and FinSuite as part of our strategy to build out our nIQ capabilities, and we established our nCino K.K. joint venture to facilitate our entry into the Japanese market. Additionally, in January 2022, we acquired SimpleNexus, which expanded our capabilities to the U.S. point-of-sale mortgage market. On September 8, 2023, SimpleNexus began operating as SimpleNexus, LLC d/b/a nCino Mortgage, LLC ("nCino Mortgage") as part of our rebranding effort, resulting in a change to the trade name useful life. As a result, the Company recorded accelerated amortization to fully amortize the remaining trade name intangible asset. The effect of this change in estimate for the year ended January 31, 2024 was an increase in sales and marketing amortization expense of $9.5 million, which resulted in an increase in loss of operations and net loss attributable to nCino, Inc. of $9.5 million, or $0.08 per basic and diluted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offer the nCino Bank Operating System on a subscription basis pursuant to non-cancellable multi-year contracts that typically range from three to five years, and we employ a “land and expand” business model. The nCino Bank Operating System is designed to scale with our customers, and once our solution is deployed, we seek to have our customers expand adoption within and across lines of business. For fiscal 2024, we had a subscription revenue retention rate of 117%. See Item 7 of this Annual Report on Form 10-K, “Management’s Discussion and Analysis of Financial Condition and Results of Operations—Factors Affecting Our Operating Results—Subscription Revenue Retention Rate” for additional information on subscription revenue retention rates.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January 31, 2024, we had 223 sales and sales support personnel in the U.S., including nCino Mortgage, and 69 sales and support personnel in offices outside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help customers go live with our solutions, we offer professional services including configuration and implementation, training, and advisory services. For enterprise FIs, we generally work with SI partners such as Accenture, Deloitte, and PwC for the delivery of professional services for the nCino Bank Operating System. For regional FIs, we work with SIs such as West Monroe Partners, and for community banks, we work with SIs or perform configuration and implementation ourselves. We expect enterprise FIs to make up a greater proportion of our nCino Bank Operating System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18, 2023, the Company announced a workforce reduction of approximately seven percent 7% and office space reductions in certain markets (collectively, the “Restructuring Plan”) in furtherance of its efforts to improve operating margins and advance the Company’s objective of profitable growth. Employees impacted by this event are included in our headcount as of January 31, 2023. The Company incurred charges in the fourth quarter of the Company’s fiscal 2023 of $4.8 million in connection with the Restructuring Plan. As of January 31, 2023, the accrual for severance and related benefit costs of $5.0 million for terminated employees was included in accrued compensation and benefits in the consolidated balance sheets and was paid in the first quarter of the Company’s fiscal 2024. The Company paid $0.8 million in the fourth quarter of fiscal 2023 to exercise an early termination clause to exit a facility during fiscal 2024, which was accounted for as a lease modification under ASC 842. See Note 19 "Restructuring" of the notes to our consolidated financial statements included in Part II, Item 8 of this Annual Report on Form 10-K for additional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revenues were $273.9 million, $408.3 million, and $476.5 million for fiscal 2022, 2023, and 2024, respectively, representing a 31.9% compound annual growth rate. Our revenues include $3.9 million in revenues from SimpleNexus from the Acquisition Date for fiscal 2022 and $65.4 million for fiscal 2023. Our subscription revenues in fiscal 2022 were $224.9 million or 82.1% of total revenues, $344.8 million or 84.4% of total revenues in fiscal 2023, and $409.5 million or 85.9% of total revenues in fiscal 2024, representing a 34.9% compound annual growth rate. Our subscription-based revenues include $3.7 million from SimpleNexus from the Acquisition Date for fiscal 2022 and $59.8 million for fiscal 2023. Due to our investments in growth, we recorded net losses attributable to nCino in fiscal 2022, 2023, and 2024 of $49.4 million, $102.7 million, and $42.3 million, respectively. Our net losses include the operating results of SimpleNexus from the Acquisition Date.</w:t>
      </w:r>
    </w:p>
    <w:p>
      <w:pPr>
        <w:pStyle w:val="TextBody"/>
        <w:bidi w:val="0"/>
        <w:spacing w:lineRule="auto" w:line="288" w:before="240" w:after="283"/>
        <w:jc w:val="left"/>
        <w:rPr/>
      </w:pPr>
      <w:r>
        <w:rPr>
          <w:color w:val="000000"/>
        </w:rPr>
        <w:t>    </w:t>
      </w:r>
      <w:r>
        <w:rPr>
          <w:rFonts w:ascii="Times New Roman;sans-serif" w:hAnsi="Times New Roman;sans-serif"/>
          <w:b w:val="false"/>
          <w:color w:val="000000"/>
          <w:sz w:val="20"/>
        </w:rPr>
        <w:t>In March 2024, we acquired DocFox, a leading solution provider automating onboarding experiences for commercial and business banking, for an aggregate purchase price of $75.0 million. See Note 20 "Subsequent Events" of the notes to our consolidated financial statements included in Part II, Item 8 of this Annual Report on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Operating Results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Market Adoption of Our Solution</w:t>
      </w:r>
      <w:r>
        <w:rPr>
          <w:rFonts w:ascii="Times New Roman;sans-serif" w:hAnsi="Times New Roman;sans-serif"/>
          <w:b w:val="false"/>
          <w:color w:val="000000"/>
          <w:sz w:val="20"/>
        </w:rPr>
        <w:t>. Our future growth depends on our ability to expand our reach to new FI customers and 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18.7% of total revenues for fiscal 2024.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Mix of Subscription and Professional Services Revenues.</w:t>
      </w:r>
      <w:r>
        <w:rPr>
          <w:color w:val="000000"/>
        </w:rPr>
        <w:t xml:space="preserve"> </w:t>
      </w:r>
      <w:r>
        <w:rPr>
          <w:rFonts w:ascii="Times New Roman;sans-serif" w:hAnsi="Times New Roman;sans-serif"/>
          <w:b w:val="false"/>
          <w:color w:val="000000"/>
          <w:sz w:val="20"/>
        </w:rPr>
        <w:t>The initial deployment of our solutions by our customers requires a period of implementation and configuration services that typically range from three months to 18 months, depending on the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Subscription Revenue Retention Rate</w:t>
      </w:r>
      <w:r>
        <w:rPr>
          <w:rFonts w:ascii="Times New Roman;sans-serif" w:hAnsi="Times New Roman;sans-serif"/>
          <w:b w:val="false"/>
          <w:color w:val="000000"/>
          <w:sz w:val="20"/>
        </w:rPr>
        <w:t xml:space="preserve">. We believe that our ability to retain and grow subscription revenues from our existing customers 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contracted for any of our solutions as of January 31 of the prior fiscal year, expressed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total subscription revenues for the prior fiscal year. In accordance with this definition, subscription revenues from customers obtained through an acquisition will first be included in the calculation in the fiscal year subsequent to such acquisition, for the periods they were a customer of nCino. Our subscription revenue retention rate provides insight into the impact on current year subscription revenues of: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timing of new customers and phased activation of seats purchased by them in prior years, which activation schedules can span several fiscal years for larger contracts;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expanding adoption of our solutions by our existing customers during the current year, excluding any revenues derived from businesses acquired during such year;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customer attrition.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fiscal 2022, 2023, and 2024, we had subscription revenue retention rates of 133%, 148%, and 117%, respectively. The most significant driver of changes in our subscription revenue retention rate each year has historically been the number of new customers in prior years and the associated phased activation schedules for such customers. In addition, because larger FIs tend to make more sizable purchases with longer activation schedules, we expect variability in our subscription revenue retention rates based on the timing and extent of our continued penetration of this portion of the market. The increase in our subscription revenue retention rate for fiscal 2023 was due to the inclusion of customers who had contracts with nCino Mortgage in effect prior to January 31, 2022. Subscription revenues from periods prior to the acquisition were excluded from the calculation for fiscal 2023. Excluding nCino Mortgage, the subscription revenue retention rate for fiscal 2023 was 125%. The moderation in our subscription revenue retention rate for fiscal 2024 was due to a decline in revenues from customers adversely affected by an increase in mortgage interest rates, from the expiration of licenses utilized for forgiveness monitoring of Paycheck Protection Program loans, and from the acquisition of customers by non-customers. Our use of subscription revenue retention rate has limitations as an analytical tool, and investors should not consider it in isolation. Other companies in adjacent markets may calculate subscription revenue retention rates or similar metrics differently, which reduces its usefulness as a comparative measure.</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Long-term ACV Expansion</w:t>
      </w:r>
      <w:r>
        <w:rPr>
          <w:rFonts w:ascii="Times New Roman;sans-serif" w:hAnsi="Times New Roman;sans-serif"/>
          <w:b w:val="false"/>
          <w:color w:val="000000"/>
          <w:sz w:val="20"/>
        </w:rPr>
        <w:t>. A key element of our growth strategy is to expand our deployed footprint with a customer after initial adoption. Our customers typically purchase the nCino Bank Operating System for a defined line of business or to support a specific use case and, once deployed, we seek to convince the customer to adopt our solutions within and across additional lines of business. To date, we have been successful in executing our land and expand strategy as a result of the ability of our solutions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solutions to generate return on investment relative to other available solutions or at all, net retention rates could suffer and our operating results could be adversely affected.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one of our solutions,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 While we expect ACV-based net retention to increase over time for each respective cohort as we execute our land and expand strategy, occasionally ACV-based net retention can moderate from one period to the next, from customer consolidation for example.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graphic below illustrates our ACV-based net retention for customers initially signed since fiscal 2013. Customers who signed with nCino Mortgage prior to January 31, 2022, are included in the fiscal 2022 cohort and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 signed with Portfolio Analytics prior to January 31, 2020, are represented in the fiscal 2020 cohort. Each individual cohort is not necessarily predictive of other or future cohorts.</w:t>
      </w:r>
    </w:p>
    <w:p>
      <w:pPr>
        <w:pStyle w:val="TextBody"/>
        <w:bidi w:val="0"/>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Annual Contract Value ("ACV")</w:t>
      </w:r>
    </w:p>
    <w:p>
      <w:pPr>
        <w:pStyle w:val="TextBody"/>
        <w:bidi w:val="0"/>
        <w:spacing w:before="240" w:after="283"/>
        <w:ind w:left="0" w:right="0" w:firstLine="990"/>
        <w:jc w:val="center"/>
        <w:rPr/>
      </w:pPr>
      <w:r>
        <w:rPr/>
        <w:drawing>
          <wp:inline distT="0" distB="0" distL="0" distR="0">
            <wp:extent cx="6486525" cy="420052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6486525" cy="4200525"/>
                    </a:xfrm>
                    <a:prstGeom prst="rect">
                      <a:avLst/>
                    </a:prstGeom>
                  </pic:spPr>
                </pic:pic>
              </a:graphicData>
            </a:graphic>
          </wp:inline>
        </w:drawing>
      </w:r>
    </w:p>
    <w:p>
      <w:pPr>
        <w:pStyle w:val="TextBody"/>
        <w:bidi w:val="0"/>
        <w:spacing w:lineRule="auto" w:line="288" w:before="240" w:after="283"/>
        <w:ind w:left="0" w:right="0" w:firstLine="990"/>
        <w:jc w:val="left"/>
        <w:rPr/>
      </w:pPr>
      <w:r>
        <w:rPr>
          <w:rFonts w:ascii="Times New Roman;sans-serif" w:hAnsi="Times New Roman;sans-serif"/>
          <w:b/>
          <w:i/>
          <w:color w:val="000000"/>
          <w:sz w:val="20"/>
        </w:rPr>
        <w:t>Macroeconomic Environment.</w:t>
      </w:r>
      <w:r>
        <w:rPr>
          <w:color w:val="000000"/>
        </w:rPr>
        <w:t xml:space="preserve"> </w:t>
      </w:r>
      <w:r>
        <w:rPr>
          <w:rFonts w:ascii="Times New Roman;sans-serif" w:hAnsi="Times New Roman;sans-serif"/>
          <w:b w:val="false"/>
          <w:color w:val="000000"/>
          <w:sz w:val="20"/>
        </w:rPr>
        <w:t>We are currently operating in a higher interest rate environment as the U.S. Federal Reserve has raised interest rates as a means to manage inflation. These rate increases have had an impact on the real estate market in the U.S. and specifically, the demand for mortgages and mortgage-related products and services, which has had a negative impact on our nCino Mortgage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the impact the macroeconomic environment may have on our business.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Continued Investment in Innovation and Growth</w:t>
      </w:r>
      <w:r>
        <w:rPr>
          <w:rFonts w:ascii="Times New Roman;sans-serif" w:hAnsi="Times New Roman;sans-serif"/>
          <w:b w:val="false"/>
          <w:color w:val="000000"/>
          <w:sz w:val="20"/>
        </w:rPr>
        <w:t>. We have made substantial investments in product development, sales and marketing, and 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 and professional services and other revenues.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Subscription Revenues</w:t>
      </w:r>
      <w:r>
        <w:rPr>
          <w:rFonts w:ascii="Times New Roman;sans-serif" w:hAnsi="Times New Roman;sans-serif"/>
          <w:b w:val="false"/>
          <w:color w:val="000000"/>
          <w:sz w:val="20"/>
        </w:rPr>
        <w:t xml:space="preserve">. Our subscription revenues consist principally of fees from customers for accessing our solutions and maintenance and support services that we generally offer under non-cancellable multi-year contracts,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typically range from three to five years for the nCino Bank Operating System and one to three years for nCino Mortgage. Specifically, we offer: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Client onboarding, loan origination, and deposit account opening applications targeted at a FI’s commercial, small business, and retail lines of business, for which we generally charge on a per seat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nIQ for which we generally charge based on the asset size of the customer or on a usage basis.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Through nCino Mortgage, a digital homeownership solution uniting people, systems, and stages of the mortgage process into a seamless end-to-end journey for which we generally charge on a per seat basis.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Maintenance and support services as well as internal-use or “sandbox” development licenses, for which we generally charge as a percentage of the related subscription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nCino Mortgage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Professional Services and Other Revenues</w:t>
      </w:r>
      <w:r>
        <w:rPr>
          <w:rFonts w:ascii="Times New Roman;sans-serif" w:hAnsi="Times New Roman;sans-serif"/>
          <w:b w:val="false"/>
          <w:color w:val="000000"/>
          <w:sz w:val="20"/>
        </w:rPr>
        <w:t>. Professional services and other revenues consist of fees for implementation and configuration 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 community banks and smaller credit unions and nCino Mortgage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Subscription Revenues</w:t>
      </w:r>
      <w:r>
        <w:rPr>
          <w:rFonts w:ascii="Times New Roman;sans-serif" w:hAnsi="Times New Roman;sans-serif"/>
          <w:b w:val="false"/>
          <w:color w:val="000000"/>
          <w:sz w:val="20"/>
        </w:rPr>
        <w:t>. Cost of subscription revenues consists of fees paid to Salesforce for access to the Salesforce Platform, 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Professional Services and Other Revenues</w:t>
      </w:r>
      <w:r>
        <w:rPr>
          <w:rFonts w:ascii="Times New Roman;sans-serif" w:hAnsi="Times New Roman;sans-serif"/>
          <w:b w:val="false"/>
          <w:color w:val="000000"/>
          <w:sz w:val="20"/>
        </w:rPr>
        <w:t>. Cost of professional services and other revenues consists primarily of personnel-related 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of our sales and marketing employees, including 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expenses consist primarily of salaries, benefits and stock-based compensation 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such as legal and other professional services fees. We expect general and administrative expenses will decrease as a percentage of revenues as we leverage the investments we have made to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Interest income consists primarily of interest earned on our cash and cash equivalents.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Interest expense consists primarily of interest related to our financing obligations along with interest expense on borrowings, commitment fees, and amortization of debt issuance costs associated with our secured revolving credit facility.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Other Expense, Net. </w:t>
      </w:r>
      <w:r>
        <w:rPr>
          <w:rFonts w:ascii="Times New Roman;sans-serif" w:hAnsi="Times New Roman;sans-serif"/>
          <w:b w:val="false"/>
          <w:color w:val="000000"/>
          <w:sz w:val="20"/>
        </w:rPr>
        <w:t>Other expense, net consists primarily of foreign currency gains and losses, the majority of which is due to intercompany loans that are denominated in currencies other than the underlying functional currency of the applicable entity.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Income Tax Provision (Benefit). </w:t>
      </w:r>
      <w:r>
        <w:rPr>
          <w:rFonts w:ascii="Times New Roman;sans-serif" w:hAnsi="Times New Roman;sans-serif"/>
          <w:b w:val="false"/>
          <w:color w:val="000000"/>
          <w:sz w:val="20"/>
        </w:rPr>
        <w:t xml:space="preserve">Income tax provision (benefit) consists of federal and state income taxes in the U.S. and income taxes in foreign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the financial statements and notes included elsewhere in this Annual Report on Form 10-K. The following tables present our selected consolidated statements of operations data for fiscal 2022, 2023, and 2024 in both dollars and as a percentage of total revenues, except as noted.</w:t>
      </w:r>
    </w:p>
    <w:tbl>
      <w:tblPr>
        <w:tblW w:w="9699" w:type="dxa"/>
        <w:jc w:val="left"/>
        <w:tblInd w:w="0" w:type="dxa"/>
        <w:tblLayout w:type="fixed"/>
        <w:tblCellMar>
          <w:top w:w="28" w:type="dxa"/>
          <w:left w:w="28" w:type="dxa"/>
          <w:bottom w:w="28" w:type="dxa"/>
          <w:right w:w="28" w:type="dxa"/>
        </w:tblCellMar>
      </w:tblPr>
      <w:tblGrid>
        <w:gridCol w:w="1892"/>
        <w:gridCol w:w="1661"/>
        <w:gridCol w:w="1667"/>
        <w:gridCol w:w="219"/>
        <w:gridCol w:w="862"/>
        <w:gridCol w:w="109"/>
        <w:gridCol w:w="109"/>
        <w:gridCol w:w="109"/>
        <w:gridCol w:w="109"/>
        <w:gridCol w:w="237"/>
        <w:gridCol w:w="949"/>
        <w:gridCol w:w="109"/>
        <w:gridCol w:w="109"/>
        <w:gridCol w:w="109"/>
        <w:gridCol w:w="109"/>
        <w:gridCol w:w="241"/>
        <w:gridCol w:w="945"/>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amounts)</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2022</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nCino, Inc.:</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96,722,464 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112,672,397 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the operating results of SimpleNexus from the Acquisition Date, see Note 7 "Business Combinations" of the notes to our consolidated financial statements included in Part II, Item 8 of this Annual Report on Form 10-K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as follows:</w:t>
      </w:r>
    </w:p>
    <w:tbl>
      <w:tblPr>
        <w:tblW w:w="7826" w:type="dxa"/>
        <w:jc w:val="left"/>
        <w:tblInd w:w="0" w:type="dxa"/>
        <w:tblLayout w:type="fixed"/>
        <w:tblCellMar>
          <w:top w:w="28" w:type="dxa"/>
          <w:left w:w="28" w:type="dxa"/>
          <w:bottom w:w="28" w:type="dxa"/>
          <w:right w:w="28" w:type="dxa"/>
        </w:tblCellMar>
      </w:tblPr>
      <w:tblGrid>
        <w:gridCol w:w="1448"/>
        <w:gridCol w:w="1275"/>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stock-based compensation expense</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$0.2 million benefit incurred for the fiscal year ended January 31, 2023 in connection with the restructuring plan commenced in January 2023. See Note 19 "Restructuring" of the notes to our consolidated financial statements included in Part II, Item 8 of this Annual Report on Form 10-K for more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7721" w:type="dxa"/>
        <w:jc w:val="left"/>
        <w:tblInd w:w="0" w:type="dxa"/>
        <w:tblLayout w:type="fixed"/>
        <w:tblCellMar>
          <w:top w:w="28" w:type="dxa"/>
          <w:left w:w="28" w:type="dxa"/>
          <w:bottom w:w="28" w:type="dxa"/>
          <w:right w:w="28" w:type="dxa"/>
        </w:tblCellMar>
      </w:tblPr>
      <w:tblGrid>
        <w:gridCol w:w="1448"/>
        <w:gridCol w:w="1275"/>
        <w:gridCol w:w="1281"/>
        <w:gridCol w:w="211"/>
        <w:gridCol w:w="616"/>
        <w:gridCol w:w="109"/>
        <w:gridCol w:w="109"/>
        <w:gridCol w:w="109"/>
        <w:gridCol w:w="109"/>
        <w:gridCol w:w="211"/>
        <w:gridCol w:w="721"/>
        <w:gridCol w:w="109"/>
        <w:gridCol w:w="109"/>
        <w:gridCol w:w="109"/>
        <w:gridCol w:w="109"/>
        <w:gridCol w:w="211"/>
        <w:gridCol w:w="721"/>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3" w:type="dxa"/>
        <w:jc w:val="left"/>
        <w:tblInd w:w="0" w:type="dxa"/>
        <w:tblLayout w:type="fixed"/>
        <w:tblCellMar>
          <w:top w:w="28" w:type="dxa"/>
          <w:left w:w="28" w:type="dxa"/>
          <w:bottom w:w="28" w:type="dxa"/>
          <w:right w:w="28" w:type="dxa"/>
        </w:tblCellMar>
      </w:tblPr>
      <w:tblGrid>
        <w:gridCol w:w="2142"/>
        <w:gridCol w:w="1881"/>
        <w:gridCol w:w="1902"/>
        <w:gridCol w:w="307"/>
        <w:gridCol w:w="309"/>
        <w:gridCol w:w="300"/>
        <w:gridCol w:w="120"/>
        <w:gridCol w:w="120"/>
        <w:gridCol w:w="120"/>
        <w:gridCol w:w="307"/>
        <w:gridCol w:w="309"/>
        <w:gridCol w:w="300"/>
        <w:gridCol w:w="120"/>
        <w:gridCol w:w="120"/>
        <w:gridCol w:w="120"/>
        <w:gridCol w:w="307"/>
        <w:gridCol w:w="309"/>
        <w:gridCol w:w="350"/>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Fiscal Years Ended January 31, 2023 and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8466" w:type="dxa"/>
        <w:jc w:val="left"/>
        <w:tblInd w:w="0" w:type="dxa"/>
        <w:tblLayout w:type="fixed"/>
        <w:tblCellMar>
          <w:top w:w="28" w:type="dxa"/>
          <w:left w:w="28" w:type="dxa"/>
          <w:bottom w:w="28" w:type="dxa"/>
          <w:right w:w="28" w:type="dxa"/>
        </w:tblCellMar>
      </w:tblPr>
      <w:tblGrid>
        <w:gridCol w:w="1220"/>
        <w:gridCol w:w="1074"/>
        <w:gridCol w:w="1080"/>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increased $64.7 million for fiscal 2024 compared to fiscal 2023, due to initial revenues from customers who did not contribute to subscription revenues during the prior period and growth from existing customers within and across lines of business. Of the increase, 86.2% was attributable to increased revenues from existing customers as additional seats were activated in accordance with contractual terms and customers expanded their adoption of our solutions, and 13.8% was attributable to initial revenues from customers who did not contribute to subscription revenues during the prior period. Subscription revenues were 85.9% of total revenues for fiscal 2024 compared to 84.4% of total revenues for fiscal 2023, primarily due to growth in our installed base.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increased $3.5 million for fiscal 2024 compared to fiscal 2023, primarily due to the addition of new customers as well as expanded adoption by existing customers within and across lines of business where implementation, configuration, and training services were required.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tbl>
      <w:tblPr>
        <w:tblW w:w="10205" w:type="dxa"/>
        <w:jc w:val="left"/>
        <w:tblInd w:w="0" w:type="dxa"/>
        <w:tblLayout w:type="fixed"/>
        <w:tblCellMar>
          <w:top w:w="28" w:type="dxa"/>
          <w:left w:w="28" w:type="dxa"/>
          <w:bottom w:w="28" w:type="dxa"/>
          <w:right w:w="28" w:type="dxa"/>
        </w:tblCellMar>
      </w:tblPr>
      <w:tblGrid>
        <w:gridCol w:w="1903"/>
        <w:gridCol w:w="1658"/>
        <w:gridCol w:w="1656"/>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307"/>
        <w:gridCol w:w="309"/>
        <w:gridCol w:w="317"/>
      </w:tblGrid>
      <w:tr>
        <w:trPr/>
        <w:tc>
          <w:tcPr>
            <w:tcW w:w="190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 increased $14.6 million for fiscal 2024 compared to fiscal 2023, generating a gross margin for subscription revenues of 70.5% compared to a gross margin of 69.2% for fiscal 2023. Costs related to Salesforce user fees increased $10.4 million as we continued to add new customers and sell additional functionality to existing customers, and other costs of subscription revenues increased $2.5 million due to costs associated with access to other platforms and data center costs. Personnel costs, including stock-based compensation expense, increased $2.0 million, mainly from an increase in average headcount. We expect the cost of subscription revenues will continue to increase in absolute dollars as the number of users of the nCino Bank Operating System grows.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professional services and other revenues increased $7.3 million for fiscal 2024 compared to fiscal 2023, generating a gross margin for professional services and other revenues of (5.3)% compared to a gross margin of 0.3% for fiscal 2023. For fiscal 2024, personnel costs increased $6.3 million for professional services and other revenues compared to the prior year period, mainly from an increase in average headcount and a $2.1 million increase in stock-based compensation expense, partially offset by a decrease in restructuring costs incurred in connection with the headcount reductions announced in January 2023. The increase in cost of professional services and other revenues also included an increase of $0.8 million in allocated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overhead costs due to growth supporting our business, partially offset by a decrease of $0.3 million in travel-related costs. The decrease in our professional services and other gross margin for fiscal 2024 was primarily due to a decline in realized effective billing and utilization rates in our professional services teams.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7266"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91"/>
        <w:gridCol w:w="294"/>
        <w:gridCol w:w="271"/>
        <w:gridCol w:w="109"/>
        <w:gridCol w:w="109"/>
        <w:gridCol w:w="109"/>
        <w:gridCol w:w="211"/>
        <w:gridCol w:w="826"/>
        <w:gridCol w:w="109"/>
        <w:gridCol w:w="109"/>
        <w:gridCol w:w="109"/>
        <w:gridCol w:w="109"/>
        <w:gridCol w:w="255"/>
        <w:gridCol w:w="256"/>
        <w:gridCol w:w="316"/>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$2.9 million for fiscal 2024 compared to fiscal 2023, primarily attributable to an increase of $9.5 million in trade name amortization expense as a result of accelerated amortization expense in the third quarter of fiscal 2024 to fully amortize the remaining trade name intangible asset as a result of the rebranding of the SimpleNexus solution to nCino Mortgage. The increase in sales and marketing expenses also included an increase of $0.8 million in allocated overhead costs. The increase in sales and marketing expenses was partially offset by a decrease of $4.3 million in personnel costs, mainly from a decrease in average headcount and a decrease in restructuring costs incurred in connection with the headcount reductions announced in January 2023, partially offset by a $2.1 million increase in stock-based compensation expense, compensation increases, and an increase in expatriate tax equalization expenses. Also included in the offset to the increase in sales and marketing expenses was a decrease of $1.3 million in marketing costs, a decrease of $1.2 million in sales-related travel costs, and a decrease of $0.6 million in third-party consulting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decreased by 64 from January 31, 2023 to January 31, 2024 primarily due to attrition and our workforce reduction announced in January 2023. We expect sales and marketing expenses will decrease as a percentage of revenues as we leverage the investments we have made to date.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$4.3 million for fiscal 2024 compared to fiscal 2023, primarily due to a $2.4 million decrease in third party professional fees as a result of reduced contract research and development spend and a decrease of $2.3 million in personnel costs, mainly from a decrease in average headcount and a decrease in restructuring costs incurred in connection with the headcount reductions announced in January 2023, partially offset by a $4.3 million increase in stock-based compensation expense and compensation increases. The decrease in research and development expenses was partially offset by an increase of $0.7 million in allocated overhead costs due to growth supporting our continued business expansion.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headcount decreased by 71 from January 31, 2023 to January 31, 2024 primarily due to our workforce reduction announced in January 2023. We expect research and development expenses will decrease as a percentage of revenues as we leverage the investments we have made to date.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$6.8 million for fiscal 2024 compared to fiscal 2023, primarily due to a decrease of $3.5 million in third party professional fees, mostly attributable to decreases related to acquisition costs for SimpleNexus and fees and expenses related to other litigation expenses including a dismissed government antitrust investigation and related civil action (the "Antitrust Matters"), partially offset by the proposed settlement agreement for the related civil action of approximately $2.2 million, disclosed in Item 3 "Legal Proceedings" of Part I of this Annual Report on Form 10-K, and an increase in other professional fees. The decrease in general and administrative spend also included a decrease of $3.4 million in personnel costs for fiscal 2024 compared to fiscal 2023, mostly attributable to a $1.2 million decrease in stock-based compensation expense, a decrease in average headcount, and a decrease in restructuring costs incurred in connection with the headcount reductions announced in January 2023, partially offset by compensation increases.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the decrease in general and administrative expenses was a decrease of $0.5 million in travel-related costs, offset by an increase of $0.5 million in allocated overhead and other general and administrative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decreased by 26 from January 31, 2023 to January 31, 2024, primarily due to our workforce reduction announced in January 2023. We expect general and administrative expenses will decrease as a percentage of revenues as we leverage the investments we have made to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tbl>
      <w:tblPr>
        <w:tblW w:w="5883" w:type="dxa"/>
        <w:jc w:val="left"/>
        <w:tblInd w:w="0" w:type="dxa"/>
        <w:tblLayout w:type="fixed"/>
        <w:tblCellMar>
          <w:top w:w="28" w:type="dxa"/>
          <w:left w:w="28" w:type="dxa"/>
          <w:bottom w:w="28" w:type="dxa"/>
          <w:right w:w="28" w:type="dxa"/>
        </w:tblCellMar>
      </w:tblPr>
      <w:tblGrid>
        <w:gridCol w:w="586"/>
        <w:gridCol w:w="515"/>
        <w:gridCol w:w="519"/>
        <w:gridCol w:w="215"/>
        <w:gridCol w:w="475"/>
        <w:gridCol w:w="109"/>
        <w:gridCol w:w="109"/>
        <w:gridCol w:w="109"/>
        <w:gridCol w:w="109"/>
        <w:gridCol w:w="239"/>
        <w:gridCol w:w="241"/>
        <w:gridCol w:w="271"/>
        <w:gridCol w:w="109"/>
        <w:gridCol w:w="109"/>
        <w:gridCol w:w="109"/>
        <w:gridCol w:w="211"/>
        <w:gridCol w:w="616"/>
        <w:gridCol w:w="109"/>
        <w:gridCol w:w="109"/>
        <w:gridCol w:w="109"/>
        <w:gridCol w:w="109"/>
        <w:gridCol w:w="239"/>
        <w:gridCol w:w="241"/>
        <w:gridCol w:w="316"/>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$2.2 million for fiscal 2024 compared to fiscal 2023, due to increase in our accounts earning interest and increased interest rates. Interest expense increased $1.3 million for fiscal 2024 compared to fiscal 2023, due to borrowing on our revolving credit facility and an increase in our financing obligations for leases for which we are considered the owners for accounting purposes. The decrease of $0.5 million in other expense, net was primarily driven by intercompany loans and transactions that are denominated in currencies other than the underlying functional currency of the applicable entity.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6096" w:type="dxa"/>
        <w:jc w:val="left"/>
        <w:tblInd w:w="0" w:type="dxa"/>
        <w:tblLayout w:type="fixed"/>
        <w:tblCellMar>
          <w:top w:w="28" w:type="dxa"/>
          <w:left w:w="28" w:type="dxa"/>
          <w:bottom w:w="28" w:type="dxa"/>
          <w:right w:w="28" w:type="dxa"/>
        </w:tblCellMar>
      </w:tblPr>
      <w:tblGrid>
        <w:gridCol w:w="667"/>
        <w:gridCol w:w="587"/>
        <w:gridCol w:w="590"/>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was $1.6 million for fiscal 2024 compared to a provision of $4.1 million for fiscal 2023 and resulted in an effective tax rate of (3.8)% compared to (4.2)% in the prior fiscal year.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"Income Taxes" of the notes to our consolidated financial statements included in Part II, Item 8 of this Annual Report on Form 10-K for further details on the components of income tax and a reconciliation of the U.S. federal statutory rate to the effective tax rate.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maintain a valuation allowance against our deferred tax assets in several jurisdictions, including the U.S. It is determined by management when a valuation allowance should be recorded, utilizing significant judgement and the use of estimates. In fiscal 2024, based on all available positive and negative evidence, having demonstrated sustained profitability and cumulative pre-tax book income for the past three years, which is objective and verifiable, we have concluded that it is more likely than not that our United Kingdom deferred tax assets will be realizable. We released $3.7 million of our valuation allowance in fiscal 2024 and will continue to monitor the need for a valuation allowance against our deferred tax assets on a quarterly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as required, Code Section 174, as amended by the Tax Cuts and Jobs Act of 2017. This will result in the repartition of our deferred tax asset balances from net operating losses and tax credit carryforwards to non-tax attribute deferred tax balances. In addition, this may reduce our operating cash flows in future periods through cash remittances of U.S. federal and state income tax. We expect these changes to continue to impact our cash tax liability.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evaluates and continues to monitor the likelihood of outcomes resulting from legislation changes to determine the adequacy of our provision for 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of Economic Cooperation and Development introduced its Pillar Two Framework Model Rules ("Pillar 2"), that was supported by over 130 countries worldwide, which is designed to impose a 15% global minimum tax on adjusted financial results. Certain aspects of Pillar 2 took effect on January 1, 2024, while other aspects go into effect on January 1, 2025. While many aspects of the application of Pillar 2 remain to be clarified, the Company does not expect Pillar 2 to impact its tax liability. The company will continue to monitor and reflect the impact of such legislative changes in future financial statements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Fiscal Years Ended January 31, 2022 and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our results of operations for the fiscal year ended January 31, 2023 compared to the fiscal year ended January 31, 2022, please refer to Part II, Item 7, “Management's Discussion and Analysis of Financial Condition and Results of Operations” in our Annual Report on Form 10-K for the fiscal year ended January 31, 2023, filed with the SEC on March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providing financial measurements based on generally accepted accounting principles in the United States of America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income (loss), as discussed below.</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Non-GAAP operating income (loss).</w:t>
      </w:r>
      <w:r>
        <w:rPr>
          <w:color w:val="000000"/>
        </w:rPr>
        <w:t xml:space="preserve"> </w:t>
      </w:r>
      <w:r>
        <w:rPr>
          <w:rFonts w:ascii="Times New Roman;sans-serif" w:hAnsi="Times New Roman;sans-serif"/>
          <w:b w:val="false"/>
          <w:color w:val="000000"/>
          <w:sz w:val="20"/>
        </w:rPr>
        <w:t>Non-GAAP operating income (loss) is defined as loss from operations as reported in our consolidated statements of operations excluding the impact of amortization of intangible assets, stock-based compensation expense, acquisition-related expenses, legal expenses related to certain litigation, and restructuring and related charges. See Note 19 "Restructuring" of the notes to our consolidated financial statements included in Part II, Item 8 of this Annual Report on Form 10-K for more information on the charges related to the restructuring. Non-GAAP operating income (loss) is widely used by securities analysts, investors, and other interested parties to evaluate the profitability of companies. Non-GAAP operating income (loss) eliminates potential differences in performance caused by these items that are not indicative of the Company's ongoing operating performance and hinders comparability with prior and future performance.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non-GAAP operating income (loss) to loss from operations, the most directly comparable financial measure, calculated and presented in accordance with GAAP (in thousands):</w:t>
      </w:r>
    </w:p>
    <w:tbl>
      <w:tblPr>
        <w:tblW w:w="7121" w:type="dxa"/>
        <w:jc w:val="left"/>
        <w:tblInd w:w="0" w:type="dxa"/>
        <w:tblLayout w:type="fixed"/>
        <w:tblCellMar>
          <w:top w:w="28" w:type="dxa"/>
          <w:left w:w="28" w:type="dxa"/>
          <w:bottom w:w="28" w:type="dxa"/>
          <w:right w:w="28" w:type="dxa"/>
        </w:tblCellMar>
      </w:tblPr>
      <w:tblGrid>
        <w:gridCol w:w="1111"/>
        <w:gridCol w:w="980"/>
        <w:gridCol w:w="983"/>
        <w:gridCol w:w="211"/>
        <w:gridCol w:w="796"/>
        <w:gridCol w:w="109"/>
        <w:gridCol w:w="109"/>
        <w:gridCol w:w="109"/>
        <w:gridCol w:w="109"/>
        <w:gridCol w:w="211"/>
        <w:gridCol w:w="796"/>
        <w:gridCol w:w="109"/>
        <w:gridCol w:w="109"/>
        <w:gridCol w:w="109"/>
        <w:gridCol w:w="109"/>
        <w:gridCol w:w="211"/>
        <w:gridCol w:w="79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expenses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related charges</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legal expenses related to the Antitrust Matters and a shareholder derivative lawsuit.</w:t>
      </w:r>
    </w:p>
    <w:p>
      <w:pPr>
        <w:pStyle w:val="TextBody"/>
        <w:bidi w:val="0"/>
        <w:spacing w:lineRule="auto" w:line="288" w:before="120" w:after="283"/>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Stock-based compensation benefit of $0.2 million related to restructuring is included on the stock-based compensation expense line item for the fiscal year ended January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we had $112.1 million in cash and cash equivalents, and an accumulated deficit of $352.8 million. Our net losses have been driven by our investments in developing the nCino Bank Operating System and scaling our sales and marketing organization and finance and administrative functions to support our rapid growth.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funded our capital needs through issuances of common stock including our initial public offering in July 2020, operating cash flows, and during fiscal 2023,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the Company had no amounts outstanding, no letters of credit issued under the Credit Facility, was in compliance with all covenants and had borrowing availability of $50.0 million. On March 17, 2024, the Company entered into the Second Amendment for the Credit Facility which, among other things, increased our borrowing availability to $100.0 million. In March 2024, we borrowed $75.0 million under the Credit Facility to fund the acquisition of DocFox. The interest rate at the time of borrowing was 7.36%. Following the acquisition, we had borrowing availability of $25.0 million. See Note 15 "Revolving Credit Facility" and Note 20 "Subsequent Events" of the notes to our consolidated financial statements included in Part II, Item 8 of this Annual Report on Form 10-K for more information.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expect capital expenditures will be appreciably higher in absolute dollars in fiscal 2025 for planned office build-outs, mainly for an international office, compared to prior fiscal years to accommodate our growth, which we estimate to be approximately $8.5 million.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nCino K.K.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2023 and January 31, 2024, the redeemable non-controlling interest was $3.6 million and $3.4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joint venture obligations, we made an additional cash capital contribution of $1.0 million to nCino K.K. during the third quarter of fiscal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Summary Cash Flow information for fiscal 2022, 2023, and 2024 are set forth below.</w:t>
      </w:r>
    </w:p>
    <w:tbl>
      <w:tblPr>
        <w:tblW w:w="8187" w:type="dxa"/>
        <w:jc w:val="left"/>
        <w:tblInd w:w="0" w:type="dxa"/>
        <w:tblLayout w:type="fixed"/>
        <w:tblCellMar>
          <w:top w:w="28" w:type="dxa"/>
          <w:left w:w="28" w:type="dxa"/>
          <w:bottom w:w="28" w:type="dxa"/>
          <w:right w:w="28" w:type="dxa"/>
        </w:tblCellMar>
      </w:tblPr>
      <w:tblGrid>
        <w:gridCol w:w="1524"/>
        <w:gridCol w:w="1342"/>
        <w:gridCol w:w="1349"/>
        <w:gridCol w:w="211"/>
        <w:gridCol w:w="796"/>
        <w:gridCol w:w="109"/>
        <w:gridCol w:w="109"/>
        <w:gridCol w:w="109"/>
        <w:gridCol w:w="109"/>
        <w:gridCol w:w="211"/>
        <w:gridCol w:w="796"/>
        <w:gridCol w:w="109"/>
        <w:gridCol w:w="109"/>
        <w:gridCol w:w="109"/>
        <w:gridCol w:w="109"/>
        <w:gridCol w:w="211"/>
        <w:gridCol w:w="72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$57.3 million provided by operating activities in fiscal 2024 reflects our net loss of $43.5 million and $16.4 million used in changes in working capital accounts, offset by $117.2 million in non-cash charges. Non-cash charges primarily consisted of stock-based compensation, depreciation and amortization, amortization of costs capitalized to obtain revenue contracts, non-cash operating lease costs, deferred income taxes, provision for bad debt, foreign currency losses related to intercompany loans and transactions, and an unrealized gain on investment. Cash used in working capital accounts was principally a function of a $14.3 million increase in accounts receivable due to the timing of billings and collections from customers, payments of $10.3 million of capitalized costs to obtain revenue contracts, which consisted primarily of sales commissions, a $6.0 million decrease in accrued expenses and other current liabilities which includes payments of approximately $5.0 million for severance and other employee costs associated with the restructuring plan and changing commission payment plans from a quarterly basis to a monthly basis, and a decrease of $4.1 million in operating lease liabilities. The cash used in working capital accounts was partially offset by a $15.9 million increase in deferred revenue, as we expanded our customer base and renewed existing customers, a $1.9 million decrease in prepaid expenses and other assets, and a $0.5 million increase in accounts payable.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$15.4 million used in operating activities in fiscal 2023 reflects our net loss of $101.8 million and $14.9 million used in changes in working capital accounts, partially offset by $101.3 million in non-cash charges. Non-cash charges primarily consisted of stock-based compensation, depreciation and amortization, amortization of costs capitalized to obtain revenue contracts, non-cash operating lease costs, foreign currency losses related to intercompany loans and transactions, deferred income taxes, and provision for bad debt. Cash used in working capital accounts was principally a function of a $26.8 million increase in accounts receivable due to the timing of billings and collections from customers, an increase of $12.2 million of capitalized costs to obtain revenue contracts, which primarily related to payments for sales commissions as we expanded our customer base, a decrease of $4.8 million in operating lease liabilities, a $3.4 million increase in prepaid expenses and other assets, and a $1.2 million decrease in accrued expenses and other current liabilities. The cash used in working capital accounts was partially offset by a $33.5 million increase in deferred revenue, as we expanded our customer base and renewed existing customers.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$6.3 million used in investing activities in fiscal 2024 was comprised of $3.5 million used for the purchase of property and equipment and leasehold improvements to support the expansion of our business, $2.5 million used for the purchase of preferred stock in Rich Data Co, and $0.4 million for the final cash considerations relating to an asset acquisition completed in August 2022. The $20.7 million used in investing activities in fiscal 2023 was comprised of $18.3 million used for the purchase of property and equipment and the completion of leasehold improvements to our additional headquarter building to support the expansion of our business, $2.5 million used for the purchase of preferred stock in Zest AI, and $0.6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asset acquisition completed in August 2022. The cash used in investing activities was partially offset by $0.7 million received for a net working capital adjustment from our SimpleNexus acquisition.</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$21.1 million used in financing activities in fiscal 2024 was comprised principally of payments of $30.0 million on the Credit Facility and principal payments of $1.2 million on financing obligations. The cash used in financing activities was partially offset by $4.7 million of proceeds from stock issuances under the employee stock purchase plan, $4.5 million of proceeds from the exercise of stock options, and $1.0 million in proceeds from the non-controlling interest in our Japan joint venture. The $36.7 million provided by financing activities in fiscal 2023 was comprised principally of $50.0 million of proceeds from borrowings on the Credit Facility to expand our liquidity, $4.5 million in proceeds from stock issuances under the employee stock purchase plan, and $3.8 million of proceeds from the exercise of stock options. The cash provided by financing activities was partially reduced by payments of $20.0 million on the Credit Facility, principal payments of $1.1 million on the financing obligations, and payments of debt issuance costs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14 "Leases," Note 15 "Revolving Credit Facility," and Note 16 "Commitments and Contingencies" of the notes to our consolidated financial statements included in Part II, Item 8 of this Annual Report on Form 10-K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"Summary of Significant Accounting Policies" of the notes to our consolidated financial statements included in Part II, Item 8 of this Annual Report on Form 10-K,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revenue recognition through the following steps: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Determination of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Recognition of revenues when, or as, the Company satisfies a performance obligation.</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primarily consist of fees for providing customers access to our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 accounted for as a service contract. Generally, our subscription contracts for the nCino Bank Operating System are three years or longer in length, billed annually in advance, are non-cancelable, and do not contain refund-type provisions. Subscription contracts for nCino Mortgage typically range from one to three years and are generally billed monthly in advance. Subscription arrangements for the nCino Bank Operating System that are cancelable generally have penalty clauses.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primarily consist of fees for deployment, configuration, and optimization services, as well as training. The majority of our professional services contracts revenues are recognized over time based on a proportional performance methodology which utilizes input methods. Professional services contracts are billed on a time and materials or fixed fee basis.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use our best estimates and assumptions to assign fair value to tangible and intangible assets acquired and liabilities assumed at the acquisition date. The estimates of fair value require management to make estimates of, among other things, future expected cash flows, obsolescence life and factor, and discount rates. The excess of the purchase price over the fair value of net assets acquired is recorded as goodwill. While we use our best estimates and assumptions, our estimates are inherently uncertain and subject to refinement. As a result, during the measurement period, which may be up to one year from the acquisition date, the Company may record adjustments to the fair value of these tangible and intangible assets acquired and liabilities assumed, with the corresponding offset to goodwill. Upon conclusion of the measurement period or final determination of the fair value of assets acquired or liabilities assumed, whichever comes first, any subsequent adjustments are recorded to the Company's consolidated statements of operations. Determining the useful life of an intangible asset also requires judgment as different types of intangible assets have different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 are reported as a component of either accounts receivable or other accrued liabilities, as appropriate, in our consolidated balance sheets and reflect our estimate of income taxes to be paid or received.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 Deferred tax assets are also recorded for any tax attributes, such as net operating losses and tax credit carryforwards.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2024, we determined that it is more likely than not that the majority of our deferred tax assets will not be realized and as such, recorded a valuation allowance of $148.3 million against our deferred tax assets of $201.9 million as of that date.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 in the U.S.,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 in Accounting Estimate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8 "Goodwill and Intangible Assets" of the notes to our consolidated financial statements included in Part II, Item 8 of this Annual Report on Form 10-K for a change in estimate related to the useful life of the SimpleNexus trade name during the third quarter of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our consolidated financial statements included in Part II, Item 8 of this Annual Report on Form 10-K for recently adopted accounting pronouncements and recently issued accounting pronouncements not yet adopted,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2024, we had cash, cash equivalents, and restricted cash of $117.4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Annual Report on Form 10-K. We do not enter into investments for trading or speculative purposes and have not used any derivative financial instruments to manage our interest rate risk exposure.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2022, we entered into a senior secured revolving credit facility of up to $50.0 million. Borrowings bear interest, at the Company's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As a result, we are exposed to increased interest rate risk as we make draws. At January 31, 2024, we had no amounts outstanding under the Credit Facility. A hypothetical 100 basis point change in interest rates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have had a material impact on our financial results included in this Annual Report on Form 10-K. See Note 15 "Revolving Credit Facility" of the notes to our consolidated financial statements included in Part II, Item 8 of this Annual Report on Form 10-K for additional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2024, based on the balances of our cash, cash equivalents, and restricted cash denominated in foreign currencies, a hypothetical 10% increase or decrease in foreign currency exchange rates would have had an impact of approximately $6.2 million on our cash, cash equivalents and restricted cash at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841" w:type="dxa"/>
        <w:jc w:val="center"/>
        <w:tblInd w:w="0" w:type="dxa"/>
        <w:tblLayout w:type="fixed"/>
        <w:tblCellMar>
          <w:top w:w="28" w:type="dxa"/>
          <w:left w:w="28" w:type="dxa"/>
          <w:bottom w:w="28" w:type="dxa"/>
          <w:right w:w="28" w:type="dxa"/>
        </w:tblCellMar>
      </w:tblPr>
      <w:tblGrid>
        <w:gridCol w:w="2291"/>
        <w:gridCol w:w="2014"/>
        <w:gridCol w:w="2025"/>
        <w:gridCol w:w="149"/>
        <w:gridCol w:w="149"/>
        <w:gridCol w:w="213"/>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94">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333333"/>
                <w:sz w:val="20"/>
              </w:rPr>
              <w:t>PCAOB</w:t>
            </w:r>
            <w:r>
              <w:rPr>
                <w:color w:val="000000"/>
              </w:rPr>
              <w:t xml:space="preserve"> </w:t>
            </w:r>
            <w:r>
              <w:rPr>
                <w:rFonts w:ascii="Times New Roman;sans-serif" w:hAnsi="Times New Roman;sans-serif"/>
                <w:b w:val="false"/>
                <w:color w:val="000000"/>
                <w:sz w:val="20"/>
              </w:rPr>
              <w:t>ID: 42)</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af44b30077e247328f6ccf875aa35572_94">
              <w:r>
                <w:rPr>
                  <w:rStyle w:val="InternetLink"/>
                  <w:rFonts w:ascii="Times New Roman;sans-serif" w:hAnsi="Times New Roman;sans-serif"/>
                  <w:b w:val="false"/>
                  <w:strike w:val="false"/>
                  <w:dstrike w:val="false"/>
                  <w:color w:val="000000"/>
                  <w:sz w:val="20"/>
                  <w:u w:val="none"/>
                  <w:effect w:val="none"/>
                </w:rPr>
                <w:t>54</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00">
              <w:r>
                <w:rPr>
                  <w:rStyle w:val="InternetLink"/>
                  <w:rFonts w:ascii="Times New Roman;sans-serif" w:hAnsi="Times New Roman;sans-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00">
              <w:r>
                <w:rPr>
                  <w:rStyle w:val="InternetLink"/>
                  <w:rFonts w:ascii="Times New Roman;sans-serif" w:hAnsi="Times New Roman;sans-serif"/>
                  <w:b w:val="false"/>
                  <w:strike w:val="false"/>
                  <w:dstrike w:val="false"/>
                  <w:color w:val="000000"/>
                  <w:sz w:val="20"/>
                  <w:u w:val="none"/>
                  <w:effect w:val="none"/>
                </w:rPr>
                <w:t>57</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03">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03">
              <w:r>
                <w:rPr>
                  <w:rStyle w:val="InternetLink"/>
                  <w:rFonts w:ascii="Times New Roman;sans-serif" w:hAnsi="Times New Roman;sans-serif"/>
                  <w:b w:val="false"/>
                  <w:strike w:val="false"/>
                  <w:dstrike w:val="false"/>
                  <w:color w:val="000000"/>
                  <w:sz w:val="20"/>
                  <w:u w:val="none"/>
                  <w:effect w:val="none"/>
                </w:rPr>
                <w:t>58</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06">
              <w:r>
                <w:rPr>
                  <w:rStyle w:val="InternetLink"/>
                  <w:rFonts w:ascii="Times New Roman;sans-serif" w:hAnsi="Times New Roman;sans-serif"/>
                  <w:b w:val="false"/>
                  <w:color w:val="0000FF"/>
                  <w:sz w:val="20"/>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06">
              <w:r>
                <w:rPr>
                  <w:rStyle w:val="InternetLink"/>
                  <w:rFonts w:ascii="Times New Roman;sans-serif" w:hAnsi="Times New Roman;sans-serif"/>
                  <w:b w:val="false"/>
                  <w:strike w:val="false"/>
                  <w:dstrike w:val="false"/>
                  <w:color w:val="000000"/>
                  <w:sz w:val="20"/>
                  <w:u w:val="none"/>
                  <w:effect w:val="none"/>
                </w:rPr>
                <w:t>59</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09">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09">
              <w:r>
                <w:rPr>
                  <w:rStyle w:val="InternetLink"/>
                  <w:rFonts w:ascii="Times New Roman;sans-serif" w:hAnsi="Times New Roman;sans-serif"/>
                  <w:b w:val="false"/>
                  <w:strike w:val="false"/>
                  <w:dstrike w:val="false"/>
                  <w:color w:val="000000"/>
                  <w:sz w:val="20"/>
                  <w:u w:val="none"/>
                  <w:effect w:val="none"/>
                </w:rPr>
                <w:t>60</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12">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12">
              <w:r>
                <w:rPr>
                  <w:rStyle w:val="InternetLink"/>
                  <w:rFonts w:ascii="Times New Roman;sans-serif" w:hAnsi="Times New Roman;sans-serif"/>
                  <w:b w:val="false"/>
                  <w:strike w:val="false"/>
                  <w:dstrike w:val="false"/>
                  <w:color w:val="000000"/>
                  <w:sz w:val="20"/>
                  <w:u w:val="none"/>
                  <w:effect w:val="none"/>
                </w:rPr>
                <w:t>61</w:t>
              </w:r>
            </w:hyperlink>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f44b30077e247328f6ccf875aa35572_115">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44b30077e247328f6ccf875aa35572_115">
              <w:r>
                <w:rPr>
                  <w:rStyle w:val="InternetLink"/>
                  <w:rFonts w:ascii="Times New Roman;sans-serif" w:hAnsi="Times New Roman;sans-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nCino, Inc.</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consolidated balance sheets of nCino, Inc. (the Company) as of January 31, 2023 and 2024, the related consolidated statements of operations, comprehensive loss, stockholders' equity and cash flows for each of the three years in the period ended January 31, 2024, and the related notes (collectively referred to as the “consolidated financial statements”). In our opinion, the consolidated financial statements present fairly, in all material respects, the financial position of the Company at January 31, 2023 and 2024, and the results of its operations and its cash flows for each of the three years in the period ended January 31, 2024, in conformity with U.S. generally accepted accounting principles.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(PCAOB), the Company’s internal control over financial reporting as of January 31, 2024, based on criteria established in Internal Control-Integrated Framework issued by the Committee of Sponsoring Organizations of the Treadway Commission (2013 framework) and our report dated March 26, 2024 expressed an unqualified opinion thereon.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94"/>
        <w:gridCol w:w="434"/>
        <w:gridCol w:w="436"/>
        <w:gridCol w:w="2692"/>
        <w:gridCol w:w="2542"/>
        <w:gridCol w:w="360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tc>
        <w:tc>
          <w:tcPr>
            <w:tcW w:w="8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4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the Company derives revenues primarily from subscription services and professional services. Revenues are recognized when a contract exists between the Company and a customer and upon transfer of control of promised products or services to customers in an amount that reflects the consideration the Company expects to receive in exchange for those products or services. The Company assesses terms and conditions associated with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For contracts that contain multiple performance obligations, the Company accounts for individual performance obligations separately if they are distinct. The transaction price is allocated to the separate performance obligations on a relative standalone selling price basis.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effort in evaluating the Company’s accounting for revenue recognition was extensive and required auditor judgment for certain customer contracts to evaluate the terms and conditions, identify distinct performance obligations and support the allocation of transaction price.</w:t>
            </w:r>
          </w:p>
          <w:p>
            <w:pPr>
              <w:pStyle w:val="TableContents"/>
              <w:bidi w:val="0"/>
              <w:spacing w:before="0" w:after="0"/>
              <w:jc w:val="both"/>
              <w:rPr/>
            </w:pPr>
            <w:r>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4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revenue recognition processes, including controls designed to mitigate the risk of override of controls. This included testing controls over management’s review of customer contracts and review of manual revenue journal entries.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test the Company’s accounting for revenue recognition, we performed audit procedures that included, among others, selecting a sample of revenue transactions to test for occurrence and to evaluate contract terms and conditions for accounting in accordance with ASC 606. This testing included reperforming the Company’s assessment of the distinct performance obligations within the arrangement, determination of the allocation of transaction price to the respective performance obligations, as well as testing the application of the revenue recognition requirements including reperforming the calculations of revenue recognized and testing the underlying data used in the calculations. We also assessed the appropriateness of the related disclosures in the consolidated financial statements. </w:t>
            </w:r>
          </w:p>
          <w:p>
            <w:pPr>
              <w:pStyle w:val="TableContents"/>
              <w:bidi w:val="0"/>
              <w:spacing w:before="0" w:after="0"/>
              <w:jc w:val="both"/>
              <w:rPr/>
            </w:pPr>
            <w:r>
              <w:rPr/>
            </w:r>
          </w:p>
        </w:tc>
      </w:tr>
    </w:tbl>
    <w:p>
      <w:pPr>
        <w:pStyle w:val="TextBody"/>
        <w:bidi w:val="0"/>
        <w:spacing w:lineRule="auto" w:line="288" w:before="300" w:after="283"/>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Raleigh, North Carolina</w:t>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March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nCino, Inc.</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nCino, Inc.’s internal control over financial reporting as of January 31, 2024, based on criteria established in Internal Control—Integrated Framework issued by the Committee of Sponsoring Organizations of the Treadway Commission (2013 framework) (the COSO criteria). In our opinion, nCino, Inc. (the Company) maintained, in all material respects, effective internal control over financial reporting as of January 31, 2024, based on the COSO criteria.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as of January 31, 2023 and 2024, the related consolidated statements of operations, comprehensive loss, stockholders’ equity and cash flows for each of the three years in the period ended January 31, 2024, and the related notes and our report dated March 26, 2024 expressed an unqualified opinion thereon.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300" w:after="283"/>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/s/ Ernst &amp; Young LLP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Raleigh, North Carolina</w:t>
      </w:r>
    </w:p>
    <w:p>
      <w:pPr>
        <w:pStyle w:val="TextBody"/>
        <w:bidi w:val="0"/>
        <w:spacing w:lineRule="auto" w:line="288" w:before="60" w:after="283"/>
        <w:jc w:val="left"/>
        <w:rPr>
          <w:rFonts w:ascii="Times New Roman;sans-serif" w:hAnsi="Times New Roman;sans-serif"/>
          <w:b w:val="false"/>
          <w:color w:val="333333"/>
          <w:sz w:val="20"/>
        </w:rPr>
      </w:pPr>
      <w:r>
        <w:rPr>
          <w:rFonts w:ascii="Times New Roman;sans-serif" w:hAnsi="Times New Roman;sans-serif"/>
          <w:b w:val="false"/>
          <w:color w:val="333333"/>
          <w:sz w:val="20"/>
        </w:rPr>
        <w:t>March 26,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85"/>
        <w:gridCol w:w="2132"/>
        <w:gridCol w:w="2158"/>
        <w:gridCol w:w="216"/>
        <w:gridCol w:w="1000"/>
        <w:gridCol w:w="111"/>
        <w:gridCol w:w="109"/>
        <w:gridCol w:w="109"/>
        <w:gridCol w:w="109"/>
        <w:gridCol w:w="215"/>
        <w:gridCol w:w="999"/>
        <w:gridCol w:w="162"/>
      </w:tblGrid>
      <w:tr>
        <w:trPr/>
        <w:tc>
          <w:tcPr>
            <w:tcW w:w="2885"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2024</w:t>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(VIE: $2,019 and $2,277 at January 31, 2023 and January 31, 2024, respectively)</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$899 and $1,451 at January 31, 2023 and January 31, 2024, respectively</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current portion, net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noncurrent, net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(related party $2,500 at January 31, 2023 and January 31, 2024)</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expenses and other assets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1,340,430 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equity</w:t>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current portion</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215,036 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noncurrent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noncurrent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 (Note 3)</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and none issued and outstanding as of January 31, 2023 and January 31, 2024</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$0.0005 par value; 500,000,000 shares authorized as of January 31, 2023 and January 31, 2024; 111,424,132 and 113,684,299 shares issued and outstanding as of January 31, 2023 and January 31, 2024, respectively</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1,049,176 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1,340,430 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079"/>
        <w:gridCol w:w="1813"/>
        <w:gridCol w:w="1832"/>
        <w:gridCol w:w="219"/>
        <w:gridCol w:w="862"/>
        <w:gridCol w:w="109"/>
        <w:gridCol w:w="109"/>
        <w:gridCol w:w="109"/>
        <w:gridCol w:w="109"/>
        <w:gridCol w:w="237"/>
        <w:gridCol w:w="949"/>
        <w:gridCol w:w="109"/>
        <w:gridCol w:w="109"/>
        <w:gridCol w:w="109"/>
        <w:gridCol w:w="109"/>
        <w:gridCol w:w="241"/>
        <w:gridCol w:w="945"/>
        <w:gridCol w:w="156"/>
      </w:tblGrid>
      <w:tr>
        <w:trPr/>
        <w:tc>
          <w:tcPr>
            <w:tcW w:w="2079"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Subscription (related party $41,404, $0, and $0, respectively)</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(Note 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 (Note 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nCino,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nCino, Inc.:</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96,722,464 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112,672,397 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9 "Reseller Agreement" and Note 17 "Related-Party Transactions."</w:t>
      </w:r>
    </w:p>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199"/>
        <w:gridCol w:w="1916"/>
        <w:gridCol w:w="1954"/>
        <w:gridCol w:w="211"/>
        <w:gridCol w:w="790"/>
        <w:gridCol w:w="109"/>
        <w:gridCol w:w="109"/>
        <w:gridCol w:w="109"/>
        <w:gridCol w:w="109"/>
        <w:gridCol w:w="211"/>
        <w:gridCol w:w="895"/>
        <w:gridCol w:w="109"/>
        <w:gridCol w:w="109"/>
        <w:gridCol w:w="109"/>
        <w:gridCol w:w="109"/>
        <w:gridCol w:w="211"/>
        <w:gridCol w:w="790"/>
        <w:gridCol w:w="156"/>
      </w:tblGrid>
      <w:tr>
        <w:trPr/>
        <w:tc>
          <w:tcPr>
            <w:tcW w:w="219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comprehensive loss attributable to redeemable non-controlling interest:</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attributable to redeemable non-controlling interest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redeemable non-controlling interest</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nCino,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905"/>
        <w:gridCol w:w="287"/>
        <w:gridCol w:w="288"/>
        <w:gridCol w:w="592"/>
        <w:gridCol w:w="594"/>
        <w:gridCol w:w="196"/>
        <w:gridCol w:w="109"/>
        <w:gridCol w:w="109"/>
        <w:gridCol w:w="109"/>
        <w:gridCol w:w="214"/>
        <w:gridCol w:w="366"/>
        <w:gridCol w:w="111"/>
        <w:gridCol w:w="109"/>
        <w:gridCol w:w="109"/>
        <w:gridCol w:w="109"/>
        <w:gridCol w:w="211"/>
        <w:gridCol w:w="976"/>
        <w:gridCol w:w="109"/>
        <w:gridCol w:w="109"/>
        <w:gridCol w:w="109"/>
        <w:gridCol w:w="109"/>
        <w:gridCol w:w="326"/>
        <w:gridCol w:w="720"/>
        <w:gridCol w:w="170"/>
        <w:gridCol w:w="109"/>
        <w:gridCol w:w="109"/>
        <w:gridCol w:w="109"/>
        <w:gridCol w:w="211"/>
        <w:gridCol w:w="841"/>
        <w:gridCol w:w="109"/>
        <w:gridCol w:w="109"/>
        <w:gridCol w:w="109"/>
        <w:gridCol w:w="109"/>
        <w:gridCol w:w="211"/>
        <w:gridCol w:w="976"/>
        <w:gridCol w:w="157"/>
      </w:tblGrid>
      <w:tr>
        <w:trPr/>
        <w:tc>
          <w:tcPr>
            <w:tcW w:w="90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93,643,759 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related to business combinations, net of issuance costs of $210</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12,762,146 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2,758,904 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109,778,542 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111,424,132 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113,684,299 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1,049,176 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78"/>
        <w:gridCol w:w="1885"/>
        <w:gridCol w:w="1891"/>
        <w:gridCol w:w="211"/>
        <w:gridCol w:w="779"/>
        <w:gridCol w:w="109"/>
        <w:gridCol w:w="109"/>
        <w:gridCol w:w="109"/>
        <w:gridCol w:w="109"/>
        <w:gridCol w:w="211"/>
        <w:gridCol w:w="884"/>
        <w:gridCol w:w="109"/>
        <w:gridCol w:w="109"/>
        <w:gridCol w:w="109"/>
        <w:gridCol w:w="109"/>
        <w:gridCol w:w="211"/>
        <w:gridCol w:w="826"/>
        <w:gridCol w:w="157"/>
      </w:tblGrid>
      <w:tr>
        <w:trPr/>
        <w:tc>
          <w:tcPr>
            <w:tcW w:w="227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adjustment attributable to redeemable non-controlling interest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revenue contracts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losses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long-lived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 net of cash acquired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 (related party $0, $2,500, and $0, respectively)</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from redeemable non-controlling interest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on revolving credit facility</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credit facility</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costs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financing obligations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cash equivalents, and restricted cash</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36"/>
        <w:gridCol w:w="1963"/>
        <w:gridCol w:w="1972"/>
        <w:gridCol w:w="211"/>
        <w:gridCol w:w="826"/>
        <w:gridCol w:w="109"/>
        <w:gridCol w:w="109"/>
        <w:gridCol w:w="109"/>
        <w:gridCol w:w="109"/>
        <w:gridCol w:w="211"/>
        <w:gridCol w:w="721"/>
        <w:gridCol w:w="109"/>
        <w:gridCol w:w="109"/>
        <w:gridCol w:w="109"/>
        <w:gridCol w:w="109"/>
        <w:gridCol w:w="211"/>
        <w:gridCol w:w="826"/>
        <w:gridCol w:w="156"/>
      </w:tblGrid>
      <w:tr>
        <w:trPr/>
        <w:tc>
          <w:tcPr>
            <w:tcW w:w="223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 end of period: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long-term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accrued but not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Building-leased facility acquired through financing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issued as consideration for business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purchase price related to acquisitions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 relating to business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20"/>
        </w:rPr>
        <w:t>The accompanying notes are an integral part of these consolidated financial statements</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ind w:left="0" w:right="0" w:firstLine="990"/>
        <w:jc w:val="left"/>
        <w:rPr/>
      </w:pPr>
      <w:r>
        <w:rPr>
          <w:rFonts w:ascii="Times New Roman;sans-serif" w:hAnsi="Times New Roman;sans-serif"/>
          <w:b/>
          <w:color w:val="000000"/>
          <w:sz w:val="20"/>
        </w:rPr>
        <w:t>Organization:</w:t>
      </w:r>
      <w:r>
        <w:rPr>
          <w:color w:val="000000"/>
        </w:rPr>
        <w:t xml:space="preserve"> </w:t>
      </w:r>
      <w:r>
        <w:rPr>
          <w:rFonts w:ascii="Times New Roman;sans-serif" w:hAnsi="Times New Roman;sans-serif"/>
          <w:b w:val="false"/>
          <w:color w:val="000000"/>
          <w:sz w:val="20"/>
        </w:rPr>
        <w:t>On November 16, 2021, nCino, Inc. (now nCino OpCo, Inc., "nCino OpCo") entered into an Agreement and Plan of Merger (the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nCino OpCo was initially organized as a North Carolina limited liability company named BANKR, LLC on December 13, 2011. On April 3, 2012, BANKR, LLC was renamed nCino, LLC which was reincorporated as nCino, Inc. (now nCino OpCo) in the State of Delaware on December 18, 2013. </w:t>
      </w:r>
    </w:p>
    <w:p>
      <w:pPr>
        <w:pStyle w:val="TextBody"/>
        <w:bidi w:val="0"/>
        <w:spacing w:lineRule="auto" w:line="288" w:before="240" w:after="283"/>
        <w:ind w:left="0" w:right="0" w:firstLine="990"/>
        <w:jc w:val="left"/>
        <w:rPr/>
      </w:pPr>
      <w:r>
        <w:rPr>
          <w:rFonts w:ascii="Times New Roman;sans-serif" w:hAnsi="Times New Roman;sans-serif"/>
          <w:b/>
          <w:color w:val="000000"/>
          <w:sz w:val="20"/>
        </w:rPr>
        <w:t>Merger:</w:t>
      </w:r>
      <w:r>
        <w:rPr>
          <w:color w:val="000000"/>
        </w:rPr>
        <w:t xml:space="preserve"> </w:t>
      </w:r>
      <w:r>
        <w:rPr>
          <w:rFonts w:ascii="Times New Roman;sans-serif" w:hAnsi="Times New Roman;sans-serif"/>
          <w:b w:val="false"/>
          <w:color w:val="000000"/>
          <w:sz w:val="20"/>
        </w:rPr>
        <w:t>On January 7, 2022, pursuant to the Merger Agreement, nCino, Inc. and nCino OpCo completed a series of mergers in which nCino, 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"Business Combinations" for additional information regarding the SimpleNexus acquisition. 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September 8, 2023, SimpleNexus began operating as SimpleNexus, LLC d/b/a nCino Mortgage, LLC ("nCino Mortgage").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or the context otherwise requires, references to “we,” “us,” “our,” “nCino,” and the “Company” refer to nCino, Inc. and its consolidated subsidiaries after the Merger Agreement and to nCino OpCo, Inc. (formerly known as nCino, Inc.) and its consolidated subsidiaries before the Merger Agreement.</w:t>
      </w:r>
    </w:p>
    <w:p>
      <w:pPr>
        <w:pStyle w:val="TextBody"/>
        <w:bidi w:val="0"/>
        <w:spacing w:lineRule="auto" w:line="288" w:before="240" w:after="283"/>
        <w:ind w:left="0" w:right="0" w:firstLine="990"/>
        <w:jc w:val="left"/>
        <w:rPr/>
      </w:pPr>
      <w:r>
        <w:rPr>
          <w:rFonts w:ascii="Times New Roman;sans-serif" w:hAnsi="Times New Roman;sans-serif"/>
          <w:b/>
          <w:color w:val="000000"/>
          <w:sz w:val="20"/>
        </w:rPr>
        <w:t>Description of Business:</w:t>
      </w:r>
      <w:r>
        <w:rPr>
          <w:color w:val="000000"/>
        </w:rPr>
        <w:t xml:space="preserve"> </w:t>
      </w:r>
      <w:r>
        <w:rPr>
          <w:rFonts w:ascii="Times New Roman;sans-serif" w:hAnsi="Times New Roman;sans-serif"/>
          <w:b w:val="false"/>
          <w:color w:val="000000"/>
          <w:sz w:val="20"/>
        </w:rPr>
        <w:t>The Company is a software-as-a-service ("SaaS") company that provides software applications to financial institutions to streamline employee and client interactions. The Company is headquartered in Wilmington, North Carolina and has various locations in the U.S., North America, Europe, and Asia Pacific.</w:t>
      </w:r>
    </w:p>
    <w:p>
      <w:pPr>
        <w:pStyle w:val="TextBody"/>
        <w:bidi w:val="0"/>
        <w:spacing w:lineRule="auto" w:line="288" w:before="240" w:after="283"/>
        <w:ind w:left="0" w:right="0" w:firstLine="990"/>
        <w:jc w:val="left"/>
        <w:rPr/>
      </w:pPr>
      <w:r>
        <w:rPr>
          <w:rFonts w:ascii="Times New Roman;sans-serif" w:hAnsi="Times New Roman;sans-serif"/>
          <w:b/>
          <w:color w:val="000000"/>
          <w:sz w:val="20"/>
        </w:rPr>
        <w:t>Fiscal Year End:</w:t>
      </w:r>
      <w:r>
        <w:rPr>
          <w:color w:val="000000"/>
        </w:rPr>
        <w:t xml:space="preserve"> </w:t>
      </w:r>
      <w:r>
        <w:rPr>
          <w:rFonts w:ascii="Times New Roman;sans-serif" w:hAnsi="Times New Roman;sans-serif"/>
          <w:b w:val="false"/>
          <w:color w:val="000000"/>
          <w:sz w:val="20"/>
        </w:rPr>
        <w:t>The Company’s fiscal year ends on January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Principles of Consolidation and Basis of Presentation:</w:t>
      </w:r>
      <w:r>
        <w:rPr>
          <w:color w:val="000000"/>
        </w:rPr>
        <w:t xml:space="preserve"> </w:t>
      </w: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pStyle w:val="TextBody"/>
        <w:bidi w:val="0"/>
        <w:spacing w:lineRule="auto" w:line="288" w:before="240" w:after="283"/>
        <w:ind w:left="0" w:right="0" w:firstLine="990"/>
        <w:jc w:val="left"/>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 xml:space="preserve">The preparation of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stock-based compensation. The Company assesses these estimates on a regular basis using historical experience and other factors. Actual results could differ from these estimates. See Note 8 "Goodwill and Intangible Assets" for a change in estimate of the useful life of the SimpleNexus trade name.</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Operating Segments: </w:t>
      </w:r>
      <w:r>
        <w:rPr>
          <w:rFonts w:ascii="Times New Roman;sans-serif" w:hAnsi="Times New Roman;sans-serif"/>
          <w:b w:val="false"/>
          <w:color w:val="000000"/>
          <w:sz w:val="20"/>
        </w:rPr>
        <w:t>The Company operates as one operating segment. Operating segments are defined as components of an enterprise for which separate financial information is available and evaluated 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pStyle w:val="TextBody"/>
        <w:bidi w:val="0"/>
        <w:spacing w:lineRule="auto" w:line="288" w:before="240" w:after="283"/>
        <w:ind w:left="0" w:right="0" w:firstLine="990"/>
        <w:jc w:val="left"/>
        <w:rPr/>
      </w:pPr>
      <w:r>
        <w:rPr>
          <w:rFonts w:ascii="Times New Roman;sans-serif" w:hAnsi="Times New Roman;sans-serif"/>
          <w:b/>
          <w:color w:val="000000"/>
          <w:sz w:val="20"/>
        </w:rPr>
        <w:t>Concentration of Credit Risk and Significant Customers:</w:t>
      </w:r>
      <w:r>
        <w:rPr>
          <w:color w:val="000000"/>
        </w:rPr>
        <w:t xml:space="preserve"> </w:t>
      </w:r>
      <w:r>
        <w:rPr>
          <w:rFonts w:ascii="Times New Roman;sans-serif" w:hAnsi="Times New Roman;sans-serif"/>
          <w:b w:val="false"/>
          <w:color w:val="000000"/>
          <w:sz w:val="20"/>
        </w:rPr>
        <w:t>The Company’s financial instruments that are exposed to concentration of credit risk consist primarily of cash, cash equivalents, restricted cash, and accounts receivable. The Company’s cash and cash equivalents exceeded federally insured limits at January 31, 2023 and January 31, 2024. The Company maintains its cash, cash equivalents, and restricted cash with high-credit-quality financial institutions.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2023 and January 31, 2024, no individual customer represented more than 10% of accounts receivable. For the fiscal years ended January 31, 2022, 2023, and 2024, no individual customer represented more than 10% of the Company’s total revenues.</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Revenue Recognition: </w:t>
      </w:r>
      <w:r>
        <w:rPr>
          <w:rFonts w:ascii="Times New Roman;sans-serif" w:hAnsi="Times New Roman;sans-serif"/>
          <w:b w:val="false"/>
          <w:color w:val="000000"/>
          <w:sz w:val="20"/>
        </w:rPr>
        <w:t>The Company derives revenues primarily from subscription services and professional services. Revenues are 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Identification of the performance obligations in the contract;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Recognition of revenues when, or as, the Company satisfies a performance obligation.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primarily consist of fees for providing customers access to the Company’s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 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Company's solutions at any time and, as a result, are accounted for as a service contract. Generally, the Company’s subscription contracts are three years or longer in length, billed annually in advance, are non-cancelable, and do not contain refund-type provisions. nCino Mortgage contracts typically range from one to three years and are generally billed monthly in advance. Subscription arrangements that are cancelable generally have penalty clauses.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revenues primarily consist of fees for deployment, configuration, and optimization services, as well as training. The majority of the Company’s professional services contract revenues are recognized over time based on a proportional performance methodology which utilizes input methods. The Company’s professional services contracts are billed on a time and materials or fixed fee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 with Multiple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Capitalized to Obtain Revenue Contracts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incremental costs of obtaining a non-cancelable subscription and support revenue contract if the Company expects the benefit of those costs to be longer than one year. The capitalized amounts are subsequently amortized over the estimated life of the contract.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to five years, which, 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sales and marketing expense in the accompanying consolidated statements of operations.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Judgments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may include multiple services requiring allocation of the transaction price across the different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costs to obtain a contract are amortized over the expected period of benefit, which the Company has determined, based on analysis, to be approximately four to five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the Company expenses the amount as incurred, utilizing the practical expedient. The Company regularly evaluates whether there have been changes in the underlying assumptions and data used to determine the amortization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 to these consolidated financial statements.</w:t>
      </w:r>
    </w:p>
    <w:p>
      <w:pPr>
        <w:pStyle w:val="TextBody"/>
        <w:bidi w:val="0"/>
        <w:spacing w:lineRule="auto" w:line="288" w:before="240" w:after="283"/>
        <w:ind w:left="0" w:right="0" w:firstLine="990"/>
        <w:jc w:val="left"/>
        <w:rPr/>
      </w:pPr>
      <w:r>
        <w:rPr>
          <w:rFonts w:ascii="Times New Roman;sans-serif" w:hAnsi="Times New Roman;sans-serif"/>
          <w:b/>
          <w:color w:val="000000"/>
          <w:sz w:val="20"/>
        </w:rPr>
        <w:t>Deferred Revenue:</w:t>
      </w:r>
      <w:r>
        <w:rPr>
          <w:color w:val="000000"/>
        </w:rPr>
        <w:t xml:space="preserve"> </w:t>
      </w:r>
      <w:r>
        <w:rPr>
          <w:rFonts w:ascii="Times New Roman;sans-serif" w:hAnsi="Times New Roman;sans-serif"/>
          <w:b w:val="false"/>
          <w:color w:val="000000"/>
          <w:sz w:val="20"/>
        </w:rPr>
        <w:t>Deferred revenue primarily consists of billings or payments received in advance of revenue recognition from 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 12-month period are recorded as deferred revenue, current portion, and the remaining portion is recorded as deferred revenue, net of current portion on the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pStyle w:val="TextBody"/>
        <w:bidi w:val="0"/>
        <w:spacing w:lineRule="auto" w:line="288" w:before="240" w:after="283"/>
        <w:ind w:left="0" w:right="0" w:firstLine="990"/>
        <w:jc w:val="left"/>
        <w:rPr/>
      </w:pPr>
      <w:r>
        <w:rPr>
          <w:rFonts w:ascii="Times New Roman;sans-serif" w:hAnsi="Times New Roman;sans-serif"/>
          <w:b/>
          <w:color w:val="000000"/>
          <w:sz w:val="20"/>
        </w:rPr>
        <w:t>Cash and Cash Equivalents:</w:t>
      </w:r>
      <w:r>
        <w:rPr>
          <w:color w:val="000000"/>
        </w:rPr>
        <w:t xml:space="preserve"> </w:t>
      </w:r>
      <w:r>
        <w:rPr>
          <w:rFonts w:ascii="Times New Roman;sans-serif" w:hAnsi="Times New Roman;sans-serif"/>
          <w:b w:val="false"/>
          <w:color w:val="000000"/>
          <w:sz w:val="20"/>
        </w:rPr>
        <w:t>The Company considers all highly liquid investments purchased with an original maturity of three months or less at the date of purchase to be cash equivalents. Cash equivalents are stated at fair value.</w:t>
      </w:r>
    </w:p>
    <w:p>
      <w:pPr>
        <w:pStyle w:val="TextBody"/>
        <w:bidi w:val="0"/>
        <w:spacing w:lineRule="auto" w:line="288" w:before="240" w:after="283"/>
        <w:ind w:left="0" w:right="0" w:firstLine="990"/>
        <w:jc w:val="left"/>
        <w:rPr/>
      </w:pPr>
      <w:r>
        <w:rPr>
          <w:rFonts w:ascii="Times New Roman;sans-serif" w:hAnsi="Times New Roman;sans-serif"/>
          <w:b/>
          <w:color w:val="000000"/>
          <w:sz w:val="20"/>
        </w:rPr>
        <w:t>Restricted Cash:</w:t>
      </w:r>
      <w:r>
        <w:rPr>
          <w:color w:val="000000"/>
        </w:rPr>
        <w:t xml:space="preserve"> </w:t>
      </w:r>
      <w:r>
        <w:rPr>
          <w:rFonts w:ascii="Times New Roman;sans-serif" w:hAnsi="Times New Roman;sans-serif"/>
          <w:b w:val="false"/>
          <w:color w:val="000000"/>
          <w:sz w:val="20"/>
        </w:rPr>
        <w:t>Restricted cash primarily consists of a minimum cash balance the Company maintains with a lender under the Company's revolving credit facility. The remaining restricted cash consists of deposits held as collateral for the Company's bank guarantees issued in place of security deposits for certain property leases and credit cards. Restricted cash is included in long-term prepaid expenses and other assets at January 31, 2023 and January 31, 2024 on the consolidated balance sheets.</w:t>
      </w:r>
    </w:p>
    <w:p>
      <w:pPr>
        <w:pStyle w:val="TextBody"/>
        <w:bidi w:val="0"/>
        <w:spacing w:lineRule="auto" w:line="288" w:before="240" w:after="283"/>
        <w:ind w:left="0" w:right="0" w:firstLine="990"/>
        <w:jc w:val="left"/>
        <w:rPr/>
      </w:pPr>
      <w:r>
        <w:rPr>
          <w:rFonts w:ascii="Times New Roman;sans-serif" w:hAnsi="Times New Roman;sans-serif"/>
          <w:b/>
          <w:color w:val="000000"/>
          <w:sz w:val="20"/>
        </w:rPr>
        <w:t>Accounts Receivable and Allowances:</w:t>
      </w:r>
      <w:r>
        <w:rPr>
          <w:color w:val="000000"/>
        </w:rPr>
        <w:t xml:space="preserve"> </w:t>
      </w:r>
      <w:r>
        <w:rPr>
          <w:rFonts w:ascii="Times New Roman;sans-serif" w:hAnsi="Times New Roman;sans-serif"/>
          <w:b w:val="false"/>
          <w:color w:val="000000"/>
          <w:sz w:val="20"/>
        </w:rPr>
        <w:t xml:space="preserve">A receivable is recorded when an unconditional right to invoice and receive payment exists, such that 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nCino Mortgage's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consolidated statements of operations, included in general and administrative expenses, up to the amount of revenues recognized to date. Any incremental allowance is recorded as an offset to deferred revenue on the consolidated balance sheets. Receivables are written off and charged against the recorded allowance when the Company has exhausted collection efforts without success.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allowance for doubtful accounts and reserve for expected credit losses is as follows:</w:t>
      </w:r>
    </w:p>
    <w:tbl>
      <w:tblPr>
        <w:tblW w:w="5697" w:type="dxa"/>
        <w:jc w:val="left"/>
        <w:tblInd w:w="0" w:type="dxa"/>
        <w:tblLayout w:type="fixed"/>
        <w:tblCellMar>
          <w:top w:w="28" w:type="dxa"/>
          <w:left w:w="28" w:type="dxa"/>
          <w:bottom w:w="28" w:type="dxa"/>
          <w:right w:w="28" w:type="dxa"/>
        </w:tblCellMar>
      </w:tblPr>
      <w:tblGrid>
        <w:gridCol w:w="901"/>
        <w:gridCol w:w="793"/>
        <w:gridCol w:w="796"/>
        <w:gridCol w:w="211"/>
        <w:gridCol w:w="466"/>
        <w:gridCol w:w="109"/>
        <w:gridCol w:w="109"/>
        <w:gridCol w:w="109"/>
        <w:gridCol w:w="109"/>
        <w:gridCol w:w="211"/>
        <w:gridCol w:w="46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bad debt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deferred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Leases: </w:t>
      </w:r>
      <w:r>
        <w:rPr>
          <w:rFonts w:ascii="Times New Roman;sans-serif" w:hAnsi="Times New Roman;sans-serif"/>
          <w:b w:val="false"/>
          <w:color w:val="000000"/>
          <w:sz w:val="20"/>
        </w:rPr>
        <w:t>The Company determines if an arrangement is or contains a lease at inception date based on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January 31, 2023 or January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The Company's leases do not generally provide an implicit rate; therefore, the Company uses its incremental borrowing rate in determining the present value of the lease payments. Lease expense is recognized on a straight-line basis over the lease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ROU assets or lease liabilities for leases with a term of 12 months or less. Lease expense for such leases is recognized on a straight-line basis over the lease term.</w:t>
      </w:r>
    </w:p>
    <w:p>
      <w:pPr>
        <w:pStyle w:val="TextBody"/>
        <w:bidi w:val="0"/>
        <w:spacing w:lineRule="auto" w:line="288" w:before="240" w:after="283"/>
        <w:ind w:left="0" w:right="0" w:firstLine="990"/>
        <w:jc w:val="left"/>
        <w:rPr/>
      </w:pPr>
      <w:r>
        <w:rPr>
          <w:rFonts w:ascii="Times New Roman;sans-serif" w:hAnsi="Times New Roman;sans-serif"/>
          <w:b/>
          <w:color w:val="000000"/>
          <w:sz w:val="20"/>
        </w:rPr>
        <w:t>Property and Equipment:</w:t>
      </w:r>
      <w:r>
        <w:rPr>
          <w:color w:val="000000"/>
        </w:rPr>
        <w:t xml:space="preserve"> </w:t>
      </w:r>
      <w:r>
        <w:rPr>
          <w:rFonts w:ascii="Times New Roman;sans-serif" w:hAnsi="Times New Roman;sans-serif"/>
          <w:b w:val="false"/>
          <w:color w:val="000000"/>
          <w:sz w:val="20"/>
        </w:rPr>
        <w:t>Property and equipment are stated at cost less accumulated depreciation. Depreciation is calculated on the straight-line method over the estimated useful lives of the assets and commences once the asset is placed in service or is ready for its intended use. The estimated useful lives by asset classification are generally as follows:</w:t>
      </w:r>
    </w:p>
    <w:tbl>
      <w:tblPr>
        <w:tblW w:w="7977" w:type="dxa"/>
        <w:jc w:val="left"/>
        <w:tblInd w:w="0" w:type="dxa"/>
        <w:tblLayout w:type="fixed"/>
        <w:tblCellMar>
          <w:top w:w="28" w:type="dxa"/>
          <w:left w:w="28" w:type="dxa"/>
          <w:bottom w:w="28" w:type="dxa"/>
          <w:right w:w="28" w:type="dxa"/>
        </w:tblCellMar>
      </w:tblPr>
      <w:tblGrid>
        <w:gridCol w:w="821"/>
        <w:gridCol w:w="720"/>
        <w:gridCol w:w="724"/>
        <w:gridCol w:w="109"/>
        <w:gridCol w:w="109"/>
        <w:gridCol w:w="109"/>
        <w:gridCol w:w="1577"/>
        <w:gridCol w:w="1577"/>
        <w:gridCol w:w="2231"/>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Estimated Useful Life</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 years</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 years</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remaining life of the lease term or estimated useful life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Repairs and maintenance are charged to expense as incurred. When assets are retired or otherwise disposed of, the cost and accumulated depreciation or amortization are removed from their respective accounts, and any gain or loss on such retirement is reflected in operating expenses.</w:t>
      </w:r>
    </w:p>
    <w:p>
      <w:pPr>
        <w:pStyle w:val="TextBody"/>
        <w:bidi w:val="0"/>
        <w:spacing w:lineRule="auto" w:line="288" w:before="240" w:after="283"/>
        <w:ind w:left="0" w:right="0" w:firstLine="990"/>
        <w:jc w:val="left"/>
        <w:rPr/>
      </w:pPr>
      <w:r>
        <w:rPr>
          <w:rFonts w:ascii="Times New Roman;sans-serif" w:hAnsi="Times New Roman;sans-serif"/>
          <w:b/>
          <w:color w:val="000000"/>
          <w:sz w:val="20"/>
        </w:rPr>
        <w:t>Financing Obligations:</w:t>
      </w:r>
      <w:r>
        <w:rPr>
          <w:color w:val="000000"/>
        </w:rPr>
        <w:t xml:space="preserve"> </w:t>
      </w:r>
      <w:r>
        <w:rPr>
          <w:rFonts w:ascii="Times New Roman;sans-serif" w:hAnsi="Times New Roman;sans-serif"/>
          <w:b w:val="false"/>
          <w:color w:val="000000"/>
          <w:sz w:val="20"/>
        </w:rPr>
        <w:t xml:space="preserve">The Company records assets and liabilities for lease arrangements where the Company has continued involvement due to purchase options and is deemed to be the owner for accounting purposes. </w:t>
      </w:r>
    </w:p>
    <w:p>
      <w:pPr>
        <w:pStyle w:val="TextBody"/>
        <w:bidi w:val="0"/>
        <w:spacing w:lineRule="auto" w:line="288" w:before="240" w:after="283"/>
        <w:ind w:left="0" w:right="0" w:firstLine="990"/>
        <w:jc w:val="left"/>
        <w:rPr/>
      </w:pPr>
      <w:r>
        <w:rPr>
          <w:rFonts w:ascii="Times New Roman;sans-serif" w:hAnsi="Times New Roman;sans-serif"/>
          <w:b/>
          <w:color w:val="000000"/>
          <w:sz w:val="20"/>
        </w:rPr>
        <w:t>Intangible Assets:</w:t>
      </w:r>
      <w:r>
        <w:rPr>
          <w:color w:val="000000"/>
        </w:rPr>
        <w:t xml:space="preserve"> </w:t>
      </w:r>
      <w:r>
        <w:rPr>
          <w:rFonts w:ascii="Times New Roman;sans-serif" w:hAnsi="Times New Roman;sans-serif"/>
          <w:b w:val="false"/>
          <w:color w:val="000000"/>
          <w:sz w:val="20"/>
        </w:rPr>
        <w:t xml:space="preserve">Intangible assets are amortized over their estimated useful lives. Each period, the Company evaluates the estimated remaining useful life of its intangible assets and whether events or changes in circumstances warrant a revision to the remaining period of amortization. </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Impairment Assessment: </w:t>
      </w:r>
      <w:r>
        <w:rPr>
          <w:rFonts w:ascii="Times New Roman;sans-serif" w:hAnsi="Times New Roman;sans-serif"/>
          <w:b w:val="false"/>
          <w:color w:val="000000"/>
          <w:sz w:val="20"/>
        </w:rPr>
        <w:t>The Company evaluates intangible assets and long-lived assets for possible impairment whenever events or 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2022, 2023, and 2024.</w:t>
      </w:r>
    </w:p>
    <w:p>
      <w:pPr>
        <w:pStyle w:val="TextBody"/>
        <w:bidi w:val="0"/>
        <w:spacing w:lineRule="auto" w:line="288" w:before="240" w:after="283"/>
        <w:ind w:left="0" w:right="0" w:firstLine="990"/>
        <w:jc w:val="left"/>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Goodwill represents the excess of the purchase price in a business combination over the fair value of net assets acquired. 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or more frequently if circumstances indicate an impairment may have occurred between annual impairment tests.</w:t>
      </w:r>
      <w:r>
        <w:rPr>
          <w:color w:val="000000"/>
        </w:rPr>
        <w:t xml:space="preserve"> </w:t>
      </w:r>
      <w:r>
        <w:rPr>
          <w:rFonts w:ascii="Times New Roman;sans-serif" w:hAnsi="Times New Roman;sans-serif"/>
          <w:b w:val="false"/>
          <w:color w:val="000000"/>
          <w:sz w:val="20"/>
        </w:rPr>
        <w:t>The Company has one reporting unit, therefore the Company evaluates goodwill for impairment at the entity level. To perform its impairment testing, the Company first assesses qualitative factors to determine whether it is more likely than not that the fair value of its single reporting unit is less than its carrying amount. The qualitative factors we consider include, but are not limited to, macroeconomic conditions, industry and market conditions, company-specific events, changes in circumstances, and our share price. If the qualitative factors indicate that the fair value of the reporting unit is greater than the carrying value of the net assets assigned to the reporting unit, then we do not consider the assigned goodwill to be impaired. If it is determined that it is more likely than not that the fair value of the Company is less than the carrying amount, a quantitative assessment is performed by comparing the fair value of a reporting unit with its carrying amount. The Company may elect to bypass the qualitative assessment and perform the quantitative assessment. An impairment loss is recognized in an amount equal to the excess of the reporting unit’s carrying value over its fair value, up to the amount of goodwill allocated to the reporting unit. There is no goodwill impairment for the fiscal years ended January 31, 2022, 2023, and 2024.</w:t>
      </w:r>
    </w:p>
    <w:p>
      <w:pPr>
        <w:pStyle w:val="TextBody"/>
        <w:bidi w:val="0"/>
        <w:spacing w:lineRule="auto" w:line="288" w:before="240" w:after="283"/>
        <w:ind w:left="0" w:right="0" w:firstLine="990"/>
        <w:jc w:val="left"/>
        <w:rPr/>
      </w:pPr>
      <w:r>
        <w:rPr>
          <w:rFonts w:ascii="Times New Roman;sans-serif" w:hAnsi="Times New Roman;sans-serif"/>
          <w:b/>
          <w:color w:val="000000"/>
          <w:sz w:val="20"/>
        </w:rPr>
        <w:t>Variable Interest Entity:</w:t>
      </w:r>
      <w:r>
        <w:rPr>
          <w:color w:val="000000"/>
        </w:rPr>
        <w:t xml:space="preserve"> </w:t>
      </w:r>
      <w:r>
        <w:rPr>
          <w:rFonts w:ascii="Times New Roman;sans-serif" w:hAnsi="Times New Roman;sans-serif"/>
          <w:b w:val="false"/>
          <w:color w:val="000000"/>
          <w:sz w:val="20"/>
        </w:rPr>
        <w:t>The Company holds an interest in a Japanese company (“nCino K.K.”) that is considered a variable interest entity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consolidated balance sheets. See Note 3 "Variable Interest Entity and Redeemable Non-Controlling Interest" for additional information regarding the Company’s variable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Redeemable Non-Controlling Interest:</w:t>
      </w:r>
      <w:r>
        <w:rPr>
          <w:color w:val="000000"/>
        </w:rPr>
        <w:t xml:space="preserve"> </w:t>
      </w:r>
      <w:r>
        <w:rPr>
          <w:rFonts w:ascii="Times New Roman;sans-serif" w:hAnsi="Times New Roman;sans-serif"/>
          <w:b w:val="false"/>
          <w:color w:val="000000"/>
          <w:sz w:val="20"/>
        </w:rPr>
        <w:t xml:space="preserve">Redeemable non-controlling interest relates to minority investors of nCino K.K. An agreement with 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Business Combinations:</w:t>
      </w:r>
      <w:r>
        <w:rPr>
          <w:color w:val="000000"/>
        </w:rPr>
        <w:t xml:space="preserve"> </w:t>
      </w:r>
      <w:r>
        <w:rPr>
          <w:rFonts w:ascii="Times New Roman;sans-serif" w:hAnsi="Times New Roman;sans-serif"/>
          <w:b w:val="false"/>
          <w:color w:val="000000"/>
          <w:sz w:val="20"/>
        </w:rPr>
        <w:t>Several valuation methods may be used to determine the fair value of assets acquired and liabilities assumed. The Company uses its best estimates and assumptions to assign fair value to the tangible and intangible assets acquired and liabilities assumed at the acquisition date. The Company’s estimates are inherently uncertain and may be subject to refinement due to unanticipated events and circumstances. For intangible assets, the Company typically uses income-based methods of valuation (for example, the multi-period excess earnings method is used to estimate the fair value estimate of customer relationships and the relief from royalty method is used in the fair value estimate of developed technologies). These methods typically start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these methods are forecasted revenues, obsolescence life and factor, customer attrition rate, and the discount rate among other assumptions.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Determining the useful life of an intangible asset also requires judgment as different types of intangible assets will have different useful lives and certain assets may even be considered to have indefinite 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pStyle w:val="TextBody"/>
        <w:bidi w:val="0"/>
        <w:spacing w:lineRule="auto" w:line="288" w:before="240" w:after="283"/>
        <w:ind w:left="0" w:right="0" w:firstLine="990"/>
        <w:jc w:val="left"/>
        <w:rPr/>
      </w:pPr>
      <w:r>
        <w:rPr>
          <w:rFonts w:ascii="Times New Roman;sans-serif" w:hAnsi="Times New Roman;sans-serif"/>
          <w:b/>
          <w:color w:val="000000"/>
          <w:sz w:val="20"/>
        </w:rPr>
        <w:t>Investments</w:t>
      </w:r>
      <w:r>
        <w:rPr>
          <w:rFonts w:ascii="Times New Roman;sans-serif" w:hAnsi="Times New Roman;sans-serif"/>
          <w:b w:val="false"/>
          <w:color w:val="000000"/>
          <w:sz w:val="20"/>
        </w:rPr>
        <w:t xml:space="preserve">: The Company's investments are non-marketable equity investments without readily determinable fair value and for which the 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the Company's consolidated statement of operations. The Company assesses the investments whenever events or changes in circumstances indicate that the carrying value of the investments may not be recoverable. </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Debt Issuance Costs: </w:t>
      </w:r>
      <w:r>
        <w:rPr>
          <w:rFonts w:ascii="Times New Roman;sans-serif" w:hAnsi="Times New Roman;sans-serif"/>
          <w:b w:val="false"/>
          <w:color w:val="000000"/>
          <w:sz w:val="20"/>
        </w:rPr>
        <w:t>Debt issuance costs are initially deferred and amortized to interest expense on a straight-line basis over the expected term of the debt. The Company uses the straight-line basis as it approximates the amounts calculated under the effective-interest method. Unamortized debt issuance costs related to the secured revolving credit facility are considered long-term and are included in long-term prepaid expenses and other assets in the consolidated balance sheets.</w:t>
      </w:r>
    </w:p>
    <w:p>
      <w:pPr>
        <w:pStyle w:val="TextBody"/>
        <w:bidi w:val="0"/>
        <w:spacing w:lineRule="auto" w:line="288" w:before="240" w:after="283"/>
        <w:ind w:left="0" w:right="0" w:firstLine="990"/>
        <w:jc w:val="left"/>
        <w:rPr/>
      </w:pPr>
      <w:r>
        <w:rPr>
          <w:rFonts w:ascii="Times New Roman;sans-serif" w:hAnsi="Times New Roman;sans-serif"/>
          <w:b/>
          <w:color w:val="000000"/>
          <w:sz w:val="20"/>
        </w:rPr>
        <w:t>Cost of Revenues:</w:t>
      </w:r>
      <w:r>
        <w:rPr>
          <w:color w:val="000000"/>
        </w:rPr>
        <w:t xml:space="preserve"> </w:t>
      </w:r>
      <w:r>
        <w:rPr>
          <w:rFonts w:ascii="Times New Roman;sans-serif" w:hAnsi="Times New Roman;sans-serif"/>
          <w:b w:val="false"/>
          <w:color w:val="000000"/>
          <w:sz w:val="20"/>
        </w:rPr>
        <w:t xml:space="preserve">Cost of subscription and support revenues consists of costs related to hosting the Company’s software solutions and 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pStyle w:val="TextBody"/>
        <w:bidi w:val="0"/>
        <w:spacing w:lineRule="auto" w:line="288" w:before="240" w:after="283"/>
        <w:ind w:left="0" w:right="0" w:firstLine="990"/>
        <w:jc w:val="left"/>
        <w:rPr/>
      </w:pPr>
      <w:r>
        <w:rPr>
          <w:rFonts w:ascii="Times New Roman;sans-serif" w:hAnsi="Times New Roman;sans-serif"/>
          <w:b/>
          <w:color w:val="000000"/>
          <w:sz w:val="20"/>
        </w:rPr>
        <w:t>Research and Development</w:t>
      </w:r>
      <w:r>
        <w:rPr>
          <w:rFonts w:ascii="Times New Roman;sans-serif" w:hAnsi="Times New Roman;sans-serif"/>
          <w:b w:val="false"/>
          <w:color w:val="000000"/>
          <w:sz w:val="20"/>
        </w:rPr>
        <w:t xml:space="preserve">: 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t>
      </w:r>
    </w:p>
    <w:p>
      <w:pPr>
        <w:pStyle w:val="TextBody"/>
        <w:bidi w:val="0"/>
        <w:spacing w:lineRule="auto" w:line="288" w:before="240" w:after="283"/>
        <w:ind w:left="0" w:right="0" w:firstLine="990"/>
        <w:jc w:val="left"/>
        <w:rPr/>
      </w:pPr>
      <w:r>
        <w:rPr>
          <w:rFonts w:ascii="Times New Roman;sans-serif" w:hAnsi="Times New Roman;sans-serif"/>
          <w:b/>
          <w:color w:val="000000"/>
          <w:sz w:val="20"/>
        </w:rPr>
        <w:t>Advertising:</w:t>
      </w:r>
      <w:r>
        <w:rPr>
          <w:color w:val="000000"/>
        </w:rPr>
        <w:t xml:space="preserve"> </w:t>
      </w:r>
      <w:r>
        <w:rPr>
          <w:rFonts w:ascii="Times New Roman;sans-serif" w:hAnsi="Times New Roman;sans-serif"/>
          <w:b w:val="false"/>
          <w:color w:val="000000"/>
          <w:sz w:val="20"/>
        </w:rPr>
        <w:t>Advertising costs are expensed as incurred and consist of advertising, third-party marketing, branded marketing, and conference and event expenses. Advertising expenses are recorded in sales and marketing expenses in the consolidated statements of operations and were $5.8 million, $8.7 million, and $7.7 million for the fiscal years ended January 31, 2022, 2023, and 2024, respectively.</w:t>
      </w:r>
    </w:p>
    <w:p>
      <w:pPr>
        <w:pStyle w:val="TextBody"/>
        <w:bidi w:val="0"/>
        <w:spacing w:lineRule="auto" w:line="288" w:before="240" w:after="283"/>
        <w:ind w:left="0" w:right="0" w:firstLine="990"/>
        <w:jc w:val="left"/>
        <w:rPr/>
      </w:pPr>
      <w:r>
        <w:rPr>
          <w:rFonts w:ascii="Times New Roman;sans-serif" w:hAnsi="Times New Roman;sans-serif"/>
          <w:b/>
          <w:color w:val="000000"/>
          <w:sz w:val="20"/>
        </w:rPr>
        <w:t>Income Taxes:</w:t>
      </w:r>
      <w:r>
        <w:rPr>
          <w:color w:val="000000"/>
        </w:rPr>
        <w:t xml:space="preserve"> </w:t>
      </w:r>
      <w:r>
        <w:rPr>
          <w:rFonts w:ascii="Times New Roman;sans-serif" w:hAnsi="Times New Roman;sans-serif"/>
          <w:b w:val="false"/>
          <w:color w:val="000000"/>
          <w:sz w:val="20"/>
        </w:rPr>
        <w:t>Deferred income taxes are determined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attributes, such as net operating losses and tax credit carryforwards. Deferred tax assets and liabilities are adjusted for the effects of the changes in tax laws and rates on the date of enactment within income tax expense. The Company reflects the expected amount of income taxes to be paid or refunded during the year as current income tax expense or benefit, as applicable.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are reduced by a valuation allowance when, in the opinion of management, it is more-likely-than-not that some portion or all of the deferred tax assets will not be realized.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When and if applicable, potential interest and penalties are accrued as incurred, within income tax provision.</w:t>
      </w:r>
    </w:p>
    <w:p>
      <w:pPr>
        <w:pStyle w:val="TextBody"/>
        <w:bidi w:val="0"/>
        <w:spacing w:lineRule="auto" w:line="288" w:before="240" w:after="283"/>
        <w:ind w:left="0" w:right="0" w:firstLine="990"/>
        <w:jc w:val="left"/>
        <w:rPr/>
      </w:pPr>
      <w:r>
        <w:rPr>
          <w:rFonts w:ascii="Times New Roman;sans-serif" w:hAnsi="Times New Roman;sans-serif"/>
          <w:b/>
          <w:color w:val="000000"/>
          <w:sz w:val="20"/>
        </w:rPr>
        <w:t xml:space="preserve">Other Comprehensive Income (Loss): </w:t>
      </w:r>
      <w:r>
        <w:rPr>
          <w:rFonts w:ascii="Times New Roman;sans-serif" w:hAnsi="Times New Roman;sans-serif"/>
          <w:b w:val="false"/>
          <w:color w:val="000000"/>
          <w:sz w:val="20"/>
        </w:rPr>
        <w:t>Accumulated other comprehensive income (loss) is reported as a component of stockholders’ equity and includes unrealized gains and losses on foreign currency translation adjustments.</w:t>
      </w:r>
    </w:p>
    <w:p>
      <w:pPr>
        <w:pStyle w:val="TextBody"/>
        <w:bidi w:val="0"/>
        <w:spacing w:lineRule="auto" w:line="288" w:before="240" w:after="283"/>
        <w:ind w:left="0" w:right="0" w:firstLine="990"/>
        <w:jc w:val="left"/>
        <w:rPr/>
      </w:pPr>
      <w:r>
        <w:rPr>
          <w:rFonts w:ascii="Times New Roman;sans-serif" w:hAnsi="Times New Roman;sans-serif"/>
          <w:b/>
          <w:color w:val="000000"/>
          <w:sz w:val="20"/>
        </w:rPr>
        <w:t>Foreign Currency:</w:t>
      </w:r>
      <w:r>
        <w:rPr>
          <w:color w:val="000000"/>
        </w:rPr>
        <w:t xml:space="preserve"> </w:t>
      </w:r>
      <w:r>
        <w:rPr>
          <w:rFonts w:ascii="Times New Roman;sans-serif" w:hAnsi="Times New Roman;sans-serif"/>
          <w:b w:val="false"/>
          <w:color w:val="000000"/>
          <w:sz w:val="20"/>
        </w:rPr>
        <w:t>The functional currency of the Company’s foreign subsidiaries is generally the local currency. Adjustments resulting from translating foreign functional currency financial statements into U.S. dollars are recorded as a separate component on the consolidated statements of comprehensive loss recorded in foreign currency translation line item.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transaction gains and losses due to transactions denominated in a currency other than the functional currency are included in other expense, net in the consolidated statements of operations and were $(2.0) million, $(1.4) million, and $(1.2) million for the fiscal years ended January 31, 2022, 2023, and 2024, respectively, primarily related to various intercompany loans. </w:t>
      </w:r>
    </w:p>
    <w:p>
      <w:pPr>
        <w:pStyle w:val="TextBody"/>
        <w:bidi w:val="0"/>
        <w:spacing w:lineRule="auto" w:line="288" w:before="240" w:after="283"/>
        <w:ind w:left="0" w:right="0" w:firstLine="990"/>
        <w:jc w:val="left"/>
        <w:rPr/>
      </w:pPr>
      <w:r>
        <w:rPr>
          <w:rFonts w:ascii="Times New Roman;sans-serif" w:hAnsi="Times New Roman;sans-serif"/>
          <w:b/>
          <w:color w:val="000000"/>
          <w:sz w:val="20"/>
        </w:rPr>
        <w:t>Stock-Based Compensation:</w:t>
      </w:r>
      <w:r>
        <w:rPr>
          <w:color w:val="000000"/>
        </w:rPr>
        <w:t xml:space="preserve"> </w:t>
      </w:r>
      <w:r>
        <w:rPr>
          <w:rFonts w:ascii="Times New Roman;sans-serif" w:hAnsi="Times New Roman;sans-serif"/>
          <w:b w:val="false"/>
          <w:color w:val="000000"/>
          <w:sz w:val="20"/>
        </w:rPr>
        <w:t xml:space="preserve">As further described in Note 11 "Stock-Based Compensation," the Company records compensation expense associated with stock options and other equity-based compensation in accordance with ASC 718, Compensation – Stock Compensation. The Company establishes fair value as the measurement objective in accounting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transactions with employees and recognizes expense on a straight-line basis over the applicable vesting period.</w:t>
      </w:r>
    </w:p>
    <w:p>
      <w:pPr>
        <w:pStyle w:val="TextBody"/>
        <w:bidi w:val="0"/>
        <w:spacing w:lineRule="auto" w:line="288" w:before="240" w:after="283"/>
        <w:ind w:left="0" w:right="0" w:firstLine="990"/>
        <w:jc w:val="left"/>
        <w:rPr/>
      </w:pPr>
      <w:r>
        <w:rPr>
          <w:rFonts w:ascii="Times New Roman;sans-serif" w:hAnsi="Times New Roman;sans-serif"/>
          <w:b/>
          <w:color w:val="000000"/>
          <w:sz w:val="20"/>
        </w:rPr>
        <w:t>Basic and Diluted Loss per Common Share:</w:t>
      </w:r>
      <w:r>
        <w:rPr>
          <w:color w:val="000000"/>
        </w:rPr>
        <w:t xml:space="preserve"> </w:t>
      </w:r>
      <w:r>
        <w:rPr>
          <w:rFonts w:ascii="Times New Roman;sans-serif" w:hAnsi="Times New Roman;sans-serif"/>
          <w:b w:val="false"/>
          <w:color w:val="000000"/>
          <w:sz w:val="20"/>
        </w:rPr>
        <w:t>Basic loss per share is calculated by dividing the net loss attributable to nCino, Inc. by the weighted-average number of shares of common stock outstanding for the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 is calculated by giving effect to all potentially dilutive common stock, which is comprised of stock options issued and outstanding, nonvested RSUs issued and outstanding, and shares issuable pursuant to the Employee Stock Purchase Plan (the "ESPP") when determining the weighted-average number of common shares outstanding. For purposes of the diluted loss per share calculation, basic and diluted loss per share were the same, as the effect of all potentially dilutive securities would have been anti-dilutive.</w:t>
      </w:r>
    </w:p>
    <w:p>
      <w:pPr>
        <w:pStyle w:val="TextBody"/>
        <w:bidi w:val="0"/>
        <w:spacing w:lineRule="auto" w:line="288" w:before="240" w:after="283"/>
        <w:ind w:left="0" w:right="0" w:firstLine="990"/>
        <w:jc w:val="left"/>
        <w:rPr/>
      </w:pPr>
      <w:r>
        <w:rPr>
          <w:rFonts w:ascii="Times New Roman;sans-serif" w:hAnsi="Times New Roman;sans-serif"/>
          <w:b/>
          <w:color w:val="000000"/>
          <w:sz w:val="20"/>
        </w:rPr>
        <w:t>Recent Accounting Pronouncements Not Yet Adopted:</w:t>
      </w:r>
      <w:r>
        <w:rPr>
          <w:color w:val="000000"/>
        </w:rPr>
        <w:t xml:space="preserve"> </w:t>
      </w:r>
      <w:r>
        <w:rPr>
          <w:rFonts w:ascii="Times New Roman;sans-serif" w:hAnsi="Times New Roman;sans-serif"/>
          <w:b w:val="false"/>
          <w:color w:val="000000"/>
          <w:sz w:val="20"/>
        </w:rPr>
        <w:t>In November 2023, the FASB issued Accounting Standards Update ("ASU") 2023-07, Segment Reporting (Topic 280): Improvements to Reportable Segment Disclosures. The guidance includes amendments to improve reportable segment disclosure requirements, primarily through enhanced disclosures about significant segment expenses. The ASU is effective for fiscal years beginning after December 15, 2023 on a retrospective basis, and interim periods within fiscal years beginning after December 15, 2024. Early adoption is permitted. The Company is currently evaluating the impact that the adoption of this standard will have on the Company’s consolidated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is currently evaluating the impact that the adoption of this standard will have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Variable Interest Entity and Redeemable Non-Controlling Interest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January 31, 2024, the Company controls a majority of the outstanding common stock in nCino K.K. In October 2023, the Company made a further investment in nCino K.K. of $1.0 million that, including additional investments in nCino K.K. of $1.0 million by existing third-party investors in October 2023, maintained the Company's ownership of 51%.</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consolidated balance sheets. The estimated redemption value of the call/put option embedded in the redeemable non-controlling interest was $3.2 million at January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redeemable non-controlling interests for the period indicated below:</w:t>
      </w:r>
    </w:p>
    <w:tbl>
      <w:tblPr>
        <w:tblW w:w="10205" w:type="dxa"/>
        <w:jc w:val="left"/>
        <w:tblInd w:w="0" w:type="dxa"/>
        <w:tblLayout w:type="fixed"/>
        <w:tblCellMar>
          <w:top w:w="28" w:type="dxa"/>
          <w:left w:w="28" w:type="dxa"/>
          <w:bottom w:w="28" w:type="dxa"/>
          <w:right w:w="28" w:type="dxa"/>
        </w:tblCellMar>
      </w:tblPr>
      <w:tblGrid>
        <w:gridCol w:w="2538"/>
        <w:gridCol w:w="2076"/>
        <w:gridCol w:w="2083"/>
        <w:gridCol w:w="211"/>
        <w:gridCol w:w="616"/>
        <w:gridCol w:w="109"/>
        <w:gridCol w:w="109"/>
        <w:gridCol w:w="109"/>
        <w:gridCol w:w="109"/>
        <w:gridCol w:w="211"/>
        <w:gridCol w:w="616"/>
        <w:gridCol w:w="109"/>
        <w:gridCol w:w="109"/>
        <w:gridCol w:w="109"/>
        <w:gridCol w:w="109"/>
        <w:gridCol w:w="211"/>
        <w:gridCol w:w="616"/>
        <w:gridCol w:w="155"/>
      </w:tblGrid>
      <w:tr>
        <w:trPr/>
        <w:tc>
          <w:tcPr>
            <w:tcW w:w="253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by redeemable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(excluding adjustment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redeemable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expense</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nCino K.K. stock options granted in accordance with nCino K.K.'s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Fair Value Measurements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 three-tier fair value hierarchy, which prioritizes the inputs used in the valuation methodologies in measuring fair value: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Significant other inputs that are directly or indirectly observable in the marketplace.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Significant unobservable inputs which are supported by little or no market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equivalents, accounts receivable, accounts payable, and accrued expenses approximate fair value as of January 31, 2023 and January 31, 2024 because of the relatively short duration of these instruments.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any outstanding borrowings on the Company's revolving credit facility approximates fair value due to the variable interest rates of the borrowings.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its financial assets and liabilities subject to fair value measurements on a recurring basis to determine the appropriate level in which to classify them for each reporting period. The following table summarizes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Company’s financial assets measured at fair value as of January 31, 2023 and January 31, 2024 and indicates the fair value hierarchy of the valuation:</w:t>
      </w:r>
    </w:p>
    <w:tbl>
      <w:tblPr>
        <w:tblW w:w="10205" w:type="dxa"/>
        <w:jc w:val="left"/>
        <w:tblInd w:w="0" w:type="dxa"/>
        <w:tblLayout w:type="fixed"/>
        <w:tblCellMar>
          <w:top w:w="28" w:type="dxa"/>
          <w:left w:w="28" w:type="dxa"/>
          <w:bottom w:w="28" w:type="dxa"/>
          <w:right w:w="28" w:type="dxa"/>
        </w:tblCellMar>
      </w:tblPr>
      <w:tblGrid>
        <w:gridCol w:w="1906"/>
        <w:gridCol w:w="1677"/>
        <w:gridCol w:w="1692"/>
        <w:gridCol w:w="325"/>
        <w:gridCol w:w="1114"/>
        <w:gridCol w:w="166"/>
        <w:gridCol w:w="166"/>
        <w:gridCol w:w="166"/>
        <w:gridCol w:w="166"/>
        <w:gridCol w:w="325"/>
        <w:gridCol w:w="625"/>
        <w:gridCol w:w="166"/>
        <w:gridCol w:w="166"/>
        <w:gridCol w:w="166"/>
        <w:gridCol w:w="166"/>
        <w:gridCol w:w="325"/>
        <w:gridCol w:w="625"/>
        <w:gridCol w:w="263"/>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2023</w:t>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long-term prepaid expenses and other assets)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06"/>
        <w:gridCol w:w="1677"/>
        <w:gridCol w:w="1692"/>
        <w:gridCol w:w="325"/>
        <w:gridCol w:w="1114"/>
        <w:gridCol w:w="166"/>
        <w:gridCol w:w="166"/>
        <w:gridCol w:w="166"/>
        <w:gridCol w:w="166"/>
        <w:gridCol w:w="325"/>
        <w:gridCol w:w="625"/>
        <w:gridCol w:w="166"/>
        <w:gridCol w:w="166"/>
        <w:gridCol w:w="166"/>
        <w:gridCol w:w="166"/>
        <w:gridCol w:w="325"/>
        <w:gridCol w:w="625"/>
        <w:gridCol w:w="263"/>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2024</w:t>
            </w:r>
          </w:p>
        </w:tc>
      </w:tr>
      <w:tr>
        <w:trPr/>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long-term prepaid expenses and other assets)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money market accounts are classified within Level 1 because the Company’s money market accounts are valued using quoted market prices in active exchange markets including identical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Non-Recurring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measured at fair value on a non-recurring basis include the investments accounted for under the measurement alternative. During the fiscal year ended January 31, 2024, the Company recorded an unrealized gain of $0.3 million on one of our investments as a result of an observable price change and is recorded in other expense, net on the consolidated statements of operations. No unrealized gain or loss was recognized for the fiscal years ended January 2022 and 2023 and there was no impairment recognized for the fiscal years ended January 31, 2022, 2023,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 by Geographic Area</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Revenues by geographic region were as follows:</w:t>
      </w:r>
    </w:p>
    <w:tbl>
      <w:tblPr>
        <w:tblW w:w="5336"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its revenues from contracts with customers by geographic location. Revenues by geography are determined based on the region of the Company’s contracting entity, which may be different than the region of the customer. For the fiscal years ended January 31, 2022, 2023, and 2024, no country outside the United States represented 10% or more of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 Amounts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is as follows as of January 31, 2023 and January 31, 2024:</w:t>
      </w:r>
    </w:p>
    <w:tbl>
      <w:tblPr>
        <w:tblW w:w="5333" w:type="dxa"/>
        <w:jc w:val="left"/>
        <w:tblInd w:w="0" w:type="dxa"/>
        <w:tblLayout w:type="fixed"/>
        <w:tblCellMar>
          <w:top w:w="28" w:type="dxa"/>
          <w:left w:w="28" w:type="dxa"/>
          <w:bottom w:w="28" w:type="dxa"/>
          <w:right w:w="28" w:type="dxa"/>
        </w:tblCellMar>
      </w:tblPr>
      <w:tblGrid>
        <w:gridCol w:w="1005"/>
        <w:gridCol w:w="882"/>
        <w:gridCol w:w="887"/>
        <w:gridCol w:w="211"/>
        <w:gridCol w:w="721"/>
        <w:gridCol w:w="109"/>
        <w:gridCol w:w="109"/>
        <w:gridCol w:w="109"/>
        <w:gridCol w:w="109"/>
        <w:gridCol w:w="211"/>
        <w:gridCol w:w="82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accounts receivable</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$0.1 million and $0.0 million income tax receivable of as of January 31, 2023 and January 31, 2024, respectively.</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 and Remaining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fiscal year ended January 31, 2024, $154.3 million of revenues were recognized out of the deferred revenue balance as of January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were $1.0 billion as of January 31, 2024. The Company expects to recognize approximately 66% of its remaining performance obligation as revenues in the next 24 months, approximately 28% more in the following 25 to 48 months, and the remainder thereafter.</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Capitalized to Obtain Revenue Contracts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January 31, 2022, 2023, and 2024, the Company amortized $5.8 million, $8.5 million, and $9.9 million of capitalized contract acquisition costs within sales and marketing expense, respectively. The Company did not incur any impairment losses.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contract acquisition costs were $27.6 million and $28.0 million as of January 31, 2023 and January 31, 2024, of which $18.2 million and $17.4 million was long-term in the consolidated balance sheets, respectively. The remaining balance of the capitalized costs to obtain contracts was current.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Property and Equipment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078" w:type="dxa"/>
        <w:jc w:val="left"/>
        <w:tblInd w:w="0" w:type="dxa"/>
        <w:tblLayout w:type="fixed"/>
        <w:tblCellMar>
          <w:top w:w="28" w:type="dxa"/>
          <w:left w:w="28" w:type="dxa"/>
          <w:bottom w:w="28" w:type="dxa"/>
          <w:right w:w="28" w:type="dxa"/>
        </w:tblCellMar>
      </w:tblPr>
      <w:tblGrid>
        <w:gridCol w:w="949"/>
        <w:gridCol w:w="835"/>
        <w:gridCol w:w="840"/>
        <w:gridCol w:w="211"/>
        <w:gridCol w:w="721"/>
        <w:gridCol w:w="109"/>
        <w:gridCol w:w="109"/>
        <w:gridCol w:w="109"/>
        <w:gridCol w:w="109"/>
        <w:gridCol w:w="211"/>
        <w:gridCol w:w="721"/>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depreciation expense as follows:</w:t>
      </w:r>
    </w:p>
    <w:tbl>
      <w:tblPr>
        <w:tblW w:w="7512" w:type="dxa"/>
        <w:jc w:val="left"/>
        <w:tblInd w:w="0" w:type="dxa"/>
        <w:tblLayout w:type="fixed"/>
        <w:tblCellMar>
          <w:top w:w="28" w:type="dxa"/>
          <w:left w:w="28" w:type="dxa"/>
          <w:bottom w:w="28" w:type="dxa"/>
          <w:right w:w="28" w:type="dxa"/>
        </w:tblCellMar>
      </w:tblPr>
      <w:tblGrid>
        <w:gridCol w:w="1451"/>
        <w:gridCol w:w="1273"/>
        <w:gridCol w:w="1281"/>
        <w:gridCol w:w="211"/>
        <w:gridCol w:w="616"/>
        <w:gridCol w:w="109"/>
        <w:gridCol w:w="109"/>
        <w:gridCol w:w="109"/>
        <w:gridCol w:w="109"/>
        <w:gridCol w:w="211"/>
        <w:gridCol w:w="616"/>
        <w:gridCol w:w="109"/>
        <w:gridCol w:w="109"/>
        <w:gridCol w:w="109"/>
        <w:gridCol w:w="109"/>
        <w:gridCol w:w="211"/>
        <w:gridCol w:w="61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and equipment by geographic region were as follows:</w:t>
      </w:r>
    </w:p>
    <w:tbl>
      <w:tblPr>
        <w:tblW w:w="3653"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Business Combinations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SimpleNexus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7, 2022 (the "Acquisition Date") through a series of mergers, the Company acquired all outstanding membership interests of SimpleNexus which provides mobile-first homeownership software that spans engagement, origination, closing and business intelligence, headquartered in Lehi, Utah. The Company acquired SimpleNexus for its complementary products and mobile-first offerings and believes this will provide greater value for new and existing customers. The business combination is considered a related party transaction as entities affiliated with Insight Partners (“Insight Partners”) were equityholders of SimpleNexus and certain other parties in connection with the series of mergers, and other affiliates of Insight Partners are currently significant stockholders of the Company. The Company has included the financial results of SimpleNexus in the consolidated statements of operations from Acquisition date. The transaction costs associated with the acquisition were approximately $10.0 million and were recorded in general and administrative expenses for the fiscal year ended January 31, 2022. The Company also recognized $0.2 million in stock issuance costs associated with the share consideration that were reported as a reduction of additional paid-in capital within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consideration transferred was $933.6 million on the Acquisition Date, subject to a net working capital adjustment. The net working capital adjustment was finalized in July 2022, resulting in a decrease to the purchase price of $0.7 million which was recorded to goodwill. The total consideration transferred is as follows:</w:t>
      </w:r>
    </w:p>
    <w:tbl>
      <w:tblPr>
        <w:tblW w:w="5788" w:type="dxa"/>
        <w:jc w:val="left"/>
        <w:tblInd w:w="0" w:type="dxa"/>
        <w:tblLayout w:type="fixed"/>
        <w:tblCellMar>
          <w:top w:w="28" w:type="dxa"/>
          <w:left w:w="28" w:type="dxa"/>
          <w:bottom w:w="28" w:type="dxa"/>
          <w:right w:w="28" w:type="dxa"/>
        </w:tblCellMar>
      </w:tblPr>
      <w:tblGrid>
        <w:gridCol w:w="1517"/>
        <w:gridCol w:w="1332"/>
        <w:gridCol w:w="1335"/>
        <w:gridCol w:w="284"/>
        <w:gridCol w:w="1113"/>
        <w:gridCol w:w="207"/>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Consideration</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to members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286,086 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Voting common stock issued (12,762,146 shares)</w:t>
            </w:r>
            <w:r>
              <w:rPr>
                <w:rFonts w:ascii="Times New Roman;sans-serif" w:hAnsi="Times New Roman;sans-serif"/>
                <w:b w:val="false"/>
                <w:color w:val="000000"/>
                <w:sz w:val="13"/>
              </w:rPr>
              <w:t>1</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working capital adjustment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932,919 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assumed a restricted stock award with an estimated fair value of $1.4 million. $0.3 million was allocated to the purchase consideration and $1.1 million was allocated to future services and was expensed over the service period remaining in fiscal 2023 on a straight-line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for stock consideration was based on a 20-day volume weighted average price fair value of $72.53 established prior to and including November 12, 2021 to determine the number of shares to be issued on the Acquisition Date. On the Acquisition Date, the Company's closing stock price was $50.82 per share.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issued 927,744 RSUs with an approximate fair value of $47.2 million to certain employees of SimpleNexus, which will vest over four years subject to such employees' continued employment. The RSUs will be recorded as stock-based compensation expense post-acquisition as the RSUs vest and has been excluded from the purchase consideration.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fair values of assets acquired and liabilities assumed in connection with the acquisition, including measurement period adjustments:</w:t>
      </w:r>
    </w:p>
    <w:tbl>
      <w:tblPr>
        <w:tblW w:w="7880" w:type="dxa"/>
        <w:jc w:val="left"/>
        <w:tblInd w:w="0" w:type="dxa"/>
        <w:tblLayout w:type="fixed"/>
        <w:tblCellMar>
          <w:top w:w="28" w:type="dxa"/>
          <w:left w:w="28" w:type="dxa"/>
          <w:bottom w:w="28" w:type="dxa"/>
          <w:right w:w="28" w:type="dxa"/>
        </w:tblCellMar>
      </w:tblPr>
      <w:tblGrid>
        <w:gridCol w:w="2424"/>
        <w:gridCol w:w="2128"/>
        <w:gridCol w:w="2137"/>
        <w:gridCol w:w="211"/>
        <w:gridCol w:w="826"/>
        <w:gridCol w:w="154"/>
      </w:tblGrid>
      <w:tr>
        <w:trPr/>
        <w:tc>
          <w:tcPr>
            <w:tcW w:w="2424"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and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and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year ended January 31, 2023, within the one year measurement period, the Company finalized the fair value of the assets acquired and liabilities assumed in the acquisition. The Company recorded measurement period adjustments that included a $2.0 million adjustment to decrease goodwill for a $1.3 million deferred income tax adjustment and a $0.7 million net working capital adjustment.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using the acquisition method and, as a result, tangible and intangible assets acquired and liabilities assumed were recorded at their estimated fair values at the Acquisition Date. Any excess consideration over the fair value of the assets acquired and liabilities assumed was recognized as goodwill. The Company determined the acquisition date deferred revenue balance in accordance with Topic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Acquisition Date:</w:t>
      </w:r>
    </w:p>
    <w:tbl>
      <w:tblPr>
        <w:tblW w:w="6271" w:type="dxa"/>
        <w:jc w:val="left"/>
        <w:tblInd w:w="0" w:type="dxa"/>
        <w:tblLayout w:type="fixed"/>
        <w:tblCellMar>
          <w:top w:w="28" w:type="dxa"/>
          <w:left w:w="28" w:type="dxa"/>
          <w:bottom w:w="28" w:type="dxa"/>
          <w:right w:w="28" w:type="dxa"/>
        </w:tblCellMar>
      </w:tblPr>
      <w:tblGrid>
        <w:gridCol w:w="1402"/>
        <w:gridCol w:w="1230"/>
        <w:gridCol w:w="1237"/>
        <w:gridCol w:w="211"/>
        <w:gridCol w:w="826"/>
        <w:gridCol w:w="109"/>
        <w:gridCol w:w="109"/>
        <w:gridCol w:w="109"/>
        <w:gridCol w:w="109"/>
        <w:gridCol w:w="272"/>
        <w:gridCol w:w="272"/>
        <w:gridCol w:w="385"/>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years</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represents the fair value of SimpleNexus’ technology. Customer relationships represent the fair value of the underlying relationships with SimpleNexus' customers. Trade names represents the fair value of SimpleNexus’ company name. See Note 8 "Goodwill and Intangible Assets" for a change in estimate related to the useful life of the SimpleNexus trade name during the third quarter of fiscal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primarily attributable to expanded market opportunities, synergies expected from the acquisition, and assembled workforce and approximately $189.2 million is deductible for tax purposes.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operations include the revenues and net loss for SimpleNexus for the period from the Acquisition Date through January 31, 2022, of $3.9 million and $3.6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Goodwill and Intangible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amounts of goodwill was as follows:</w:t>
      </w:r>
    </w:p>
    <w:tbl>
      <w:tblPr>
        <w:tblW w:w="7475" w:type="dxa"/>
        <w:jc w:val="left"/>
        <w:tblInd w:w="0" w:type="dxa"/>
        <w:tblLayout w:type="fixed"/>
        <w:tblCellMar>
          <w:top w:w="28" w:type="dxa"/>
          <w:left w:w="28" w:type="dxa"/>
          <w:bottom w:w="28" w:type="dxa"/>
          <w:right w:w="28" w:type="dxa"/>
        </w:tblCellMar>
      </w:tblPr>
      <w:tblGrid>
        <w:gridCol w:w="2275"/>
        <w:gridCol w:w="2001"/>
        <w:gridCol w:w="2008"/>
        <w:gridCol w:w="211"/>
        <w:gridCol w:w="826"/>
        <w:gridCol w:w="154"/>
      </w:tblGrid>
      <w:tr>
        <w:trPr/>
        <w:tc>
          <w:tcPr>
            <w:tcW w:w="2275"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 relating to the acquisition of SimpleNexus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2023</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838,869 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Intangible assets, net are as follows:</w:t>
      </w:r>
    </w:p>
    <w:tbl>
      <w:tblPr>
        <w:tblW w:w="11635" w:type="dxa"/>
        <w:jc w:val="left"/>
        <w:tblInd w:w="0" w:type="dxa"/>
        <w:tblLayout w:type="fixed"/>
        <w:tblCellMar>
          <w:top w:w="28" w:type="dxa"/>
          <w:left w:w="28" w:type="dxa"/>
          <w:bottom w:w="28" w:type="dxa"/>
          <w:right w:w="28" w:type="dxa"/>
        </w:tblCellMar>
      </w:tblPr>
      <w:tblGrid>
        <w:gridCol w:w="723"/>
        <w:gridCol w:w="635"/>
        <w:gridCol w:w="638"/>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72"/>
        <w:gridCol w:w="272"/>
        <w:gridCol w:w="38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Useful Life (Years)</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7722" w:type="dxa"/>
        <w:jc w:val="left"/>
        <w:tblInd w:w="0" w:type="dxa"/>
        <w:tblLayout w:type="fixed"/>
        <w:tblCellMar>
          <w:top w:w="28" w:type="dxa"/>
          <w:left w:w="28" w:type="dxa"/>
          <w:bottom w:w="28" w:type="dxa"/>
          <w:right w:w="28" w:type="dxa"/>
        </w:tblCellMar>
      </w:tblPr>
      <w:tblGrid>
        <w:gridCol w:w="1451"/>
        <w:gridCol w:w="1273"/>
        <w:gridCol w:w="1281"/>
        <w:gridCol w:w="211"/>
        <w:gridCol w:w="616"/>
        <w:gridCol w:w="109"/>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2024, the Company rebranded the SimpleNexus solution to nCino Mortgage, resulting in a change to the trade name useful life. As a result, the Company recorded accelerated amortization to fully amortize the remaining trade name intangible asset. The effect of this change in estimate for the year ended January 31, 2024 was an increase in sales and marketing amortization expense of $9.5 million, which resulted in an increase in loss of operations and net loss attributable to nCino, Inc. of $9.5 million, or $0.08 per basic and diluted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future amortization expense for intangible assets as of January 31, 2024 is as follows:</w:t>
      </w:r>
    </w:p>
    <w:tbl>
      <w:tblPr>
        <w:tblW w:w="3620" w:type="dxa"/>
        <w:jc w:val="left"/>
        <w:tblInd w:w="0" w:type="dxa"/>
        <w:tblLayout w:type="fixed"/>
        <w:tblCellMar>
          <w:top w:w="28" w:type="dxa"/>
          <w:left w:w="28" w:type="dxa"/>
          <w:bottom w:w="28" w:type="dxa"/>
          <w:right w:w="28" w:type="dxa"/>
        </w:tblCellMar>
      </w:tblPr>
      <w:tblGrid>
        <w:gridCol w:w="878"/>
        <w:gridCol w:w="772"/>
        <w:gridCol w:w="779"/>
        <w:gridCol w:w="211"/>
        <w:gridCol w:w="82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Reseller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reseller agreement in place with a former related party to utilize their platform and to develop the Company’s cloud-based banking software as an application within their hosted environment. This agreement was amended during fiscal 2024 extending its term through January 31, 2031, and will automatically renew in annual increments thereafter unless either party gives notice of non-renewal before the end of the initial term or the respective renewal term. Cost of subscription revenues in each of the fiscal years ended January 31, 2022, 2023, and 2024 includes fees paid for access to their platform, including their hosting infrastructure and data center operations. Based solely on information reported in a Schedule 13G/A filed with the SEC on February 11, 2022 the reseller was no longer considered a related party as of December 31, 2021 and the amounts disclosed related to them are accordingly presented while the reseller was considered a related party. The Company continues to do business with the reseller and transactions after December 31, 2021 are no longer disclosed. The Company has recorded expenses of $41.4 million for the fiscal year ended January 31, 2022. See also Note 17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Stockholders’ Equity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rights and key provisions affecting each class of the Company’s stock as of January 31, 2024, is as follows:</w:t>
      </w:r>
    </w:p>
    <w:p>
      <w:pPr>
        <w:pStyle w:val="TextBody"/>
        <w:bidi w:val="0"/>
        <w:spacing w:lineRule="auto" w:line="288" w:before="240" w:after="283"/>
        <w:ind w:left="0" w:right="0" w:firstLine="990"/>
        <w:jc w:val="left"/>
        <w:rPr/>
      </w:pPr>
      <w:r>
        <w:rPr>
          <w:rFonts w:ascii="Times New Roman;sans-serif" w:hAnsi="Times New Roman;sans-serif"/>
          <w:b/>
          <w:color w:val="000000"/>
          <w:sz w:val="20"/>
        </w:rPr>
        <w:t>Preferred Stock:</w:t>
      </w:r>
      <w:r>
        <w:rPr>
          <w:color w:val="000000"/>
        </w:rPr>
        <w:t xml:space="preserve"> </w:t>
      </w:r>
      <w:r>
        <w:rPr>
          <w:rFonts w:ascii="Times New Roman;sans-serif" w:hAnsi="Times New Roman;sans-serif"/>
          <w:b w:val="false"/>
          <w:color w:val="000000"/>
          <w:sz w:val="20"/>
        </w:rPr>
        <w:t xml:space="preserve">The Board of Directors is authorized to establish one or more series of preferred stock and to fix the number of shares constituting such series and the designation of such series, including the voting powers, preferences,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limitations, restrictions, and other special rights thereof. The Company's preferred stock consists of 10,000,000 authorized shares, par value $0.001 per share. </w:t>
      </w:r>
    </w:p>
    <w:p>
      <w:pPr>
        <w:pStyle w:val="TextBody"/>
        <w:bidi w:val="0"/>
        <w:spacing w:lineRule="auto" w:line="288" w:before="240" w:after="283"/>
        <w:ind w:left="0" w:right="0" w:firstLine="990"/>
        <w:jc w:val="left"/>
        <w:rPr/>
      </w:pP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 xml:space="preserve">The Company's common stock consists of 500,000,000 authorized shares, par value $0.0005 per share.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January 31, 2024, the Company committed a total of 34,179,706 shares of common stock for future issuance as follows:</w:t>
      </w:r>
    </w:p>
    <w:tbl>
      <w:tblPr>
        <w:tblW w:w="6635" w:type="dxa"/>
        <w:jc w:val="left"/>
        <w:tblInd w:w="0" w:type="dxa"/>
        <w:tblLayout w:type="fixed"/>
        <w:tblCellMar>
          <w:top w:w="28" w:type="dxa"/>
          <w:left w:w="28" w:type="dxa"/>
          <w:bottom w:w="28" w:type="dxa"/>
          <w:right w:w="28" w:type="dxa"/>
        </w:tblCellMar>
      </w:tblPr>
      <w:tblGrid>
        <w:gridCol w:w="1956"/>
        <w:gridCol w:w="1719"/>
        <w:gridCol w:w="1725"/>
        <w:gridCol w:w="540"/>
        <w:gridCol w:w="541"/>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issued and outstanding restricted stock units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issuance under stock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27,340,877 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34,179,706 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equity incentive plans: the nCino, Inc. 2014 Omnibus Stock Ownership and Long-Term Incentive Plan (the “2014 Plan”) and the 2019 Amended and Restated Equity Incentive Plan (the “2019 Plan” and together with the 2014 Plan, the “Incentive Plans”). Under the 2014 Plan, the Board of Directors had allotted 15,025,666 shares of common stock for incentive options or non-qualified options as of January 31, 2024. Non-qualified options may be granted to Company employees, non-employee directors, and consultants. The exercise price of options is determined by the Board of Directors, but cannot be less than 100% of the fair market value of the Company’s common stock on the date of the grant. The options generally vest in one of two ways: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 equal annual installments over four years from the grant 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Upon a change in control transaction (with respect to certain Incentive Plan participants).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options expire ten years from the grant date and, with respect to certain Incentive Plan participants, provide for accelerated vesting if there is a change in control of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2019, the Company established the 2019 Equity Incentive Plan for the issuance of awards in the form of options, stock appreciation rights, restricted stock awards, restricted stock units, performance shares, performance units, cash-based awards, and other stock-based awards.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initial public offering ("IPO"), the Company's Board of Directors adopted and the Company's stockholders approved the 2019 Plan which amended and restated the 2019 Equity Incentive Plan. All awards shall be granted within ten years from the effective date of the 2019 Plan and can only be granted to employees, officers, directors, and consultants and generally vest over four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2019 Plan, the number of available shares was increased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 The 2014 Plan governs outstanding awards granted prior to the adoption of the 2019 Plan.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RSUs vest upon the satisfaction of a time-based condition. RSUs are generally earned over a service period of four years</w:t>
      </w:r>
      <w:r>
        <w:rPr>
          <w:rFonts w:ascii="Times New Roman;sans-serif" w:hAnsi="Times New Roman;sans-serif"/>
          <w:b w:val="false"/>
          <w:color w:val="000000"/>
          <w:sz w:val="20"/>
          <w:shd w:fill="FFFFFF" w:val="clear"/>
        </w:rPr>
        <w:t xml:space="preserve">. For RSUs granted to the non-employee members of the Board of Directors, some vest in less than a year, some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and some over three years. </w:t>
      </w:r>
      <w:r>
        <w:rPr>
          <w:rFonts w:ascii="Times New Roman;sans-serif" w:hAnsi="Times New Roman;sans-serif"/>
          <w:b w:val="false"/>
          <w:color w:val="000000"/>
          <w:sz w:val="20"/>
        </w:rPr>
        <w:t xml:space="preserve">The compensation expense related to these awards is based on the grant date fair value of the RSUs and is recognized on a ratable basis over the applicable service period.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2024, the Company had stock options outstanding under the 2014 Plan and the 2019 Plan had stock options and RSUs outstanding.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fiscal year ended January 31, 2024 was as follows:</w:t>
      </w:r>
    </w:p>
    <w:tbl>
      <w:tblPr>
        <w:tblW w:w="10205" w:type="dxa"/>
        <w:jc w:val="left"/>
        <w:tblInd w:w="0" w:type="dxa"/>
        <w:tblLayout w:type="fixed"/>
        <w:tblCellMar>
          <w:top w:w="28" w:type="dxa"/>
          <w:left w:w="28" w:type="dxa"/>
          <w:bottom w:w="28" w:type="dxa"/>
          <w:right w:w="28" w:type="dxa"/>
        </w:tblCellMar>
      </w:tblPr>
      <w:tblGrid>
        <w:gridCol w:w="901"/>
        <w:gridCol w:w="792"/>
        <w:gridCol w:w="794"/>
        <w:gridCol w:w="488"/>
        <w:gridCol w:w="488"/>
        <w:gridCol w:w="259"/>
        <w:gridCol w:w="109"/>
        <w:gridCol w:w="109"/>
        <w:gridCol w:w="109"/>
        <w:gridCol w:w="285"/>
        <w:gridCol w:w="692"/>
        <w:gridCol w:w="149"/>
        <w:gridCol w:w="109"/>
        <w:gridCol w:w="109"/>
        <w:gridCol w:w="109"/>
        <w:gridCol w:w="801"/>
        <w:gridCol w:w="801"/>
        <w:gridCol w:w="803"/>
        <w:gridCol w:w="109"/>
        <w:gridCol w:w="109"/>
        <w:gridCol w:w="109"/>
        <w:gridCol w:w="382"/>
        <w:gridCol w:w="1307"/>
        <w:gridCol w:w="282"/>
      </w:tblGrid>
      <w:tr>
        <w:trPr/>
        <w:tc>
          <w:tcPr>
            <w:tcW w:w="9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(In thousands)</w:t>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or 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(785,794)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1,212,704 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January 31,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1,212,704 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29,516 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or expected to vest, January 31, 2024</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1,212,704 </w:t>
            </w:r>
          </w:p>
        </w:tc>
        <w:tc>
          <w:tcPr>
            <w:tcW w:w="2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4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29,516 </w:t>
            </w:r>
          </w:p>
        </w:tc>
        <w:tc>
          <w:tcPr>
            <w:tcW w:w="2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during the fiscal years ended January 31, 2022, 2023, and 2024 was $176.8 million, $16.2 million, and $19.0 million, respectively. 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RSU activity during the fiscal year ended January 31, 2024 was as follows:</w:t>
      </w:r>
    </w:p>
    <w:tbl>
      <w:tblPr>
        <w:tblW w:w="5649" w:type="dxa"/>
        <w:jc w:val="left"/>
        <w:tblInd w:w="0" w:type="dxa"/>
        <w:tblLayout w:type="fixed"/>
        <w:tblCellMar>
          <w:top w:w="28" w:type="dxa"/>
          <w:left w:w="28" w:type="dxa"/>
          <w:bottom w:w="28" w:type="dxa"/>
          <w:right w:w="28" w:type="dxa"/>
        </w:tblCellMar>
      </w:tblPr>
      <w:tblGrid>
        <w:gridCol w:w="896"/>
        <w:gridCol w:w="788"/>
        <w:gridCol w:w="791"/>
        <w:gridCol w:w="524"/>
        <w:gridCol w:w="526"/>
        <w:gridCol w:w="296"/>
        <w:gridCol w:w="109"/>
        <w:gridCol w:w="109"/>
        <w:gridCol w:w="109"/>
        <w:gridCol w:w="322"/>
        <w:gridCol w:w="942"/>
        <w:gridCol w:w="237"/>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2023</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3,531,387 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3,639,302 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(1,189,322)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(355,242)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2024</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5,626,125 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for RSUs granted during the fiscal years ended January 31, 2022, 2023, and 2024 was $60.99, $41.54, and $25.65,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vested for the fiscal years ended January 31, 2022, 2023, and 2024 was $12.2 million, $39.7 million, and $48.2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total unrecognized compensation expense related to non-vested RSUs was $141.6 million, adjusted for estimated forfeitures, based on the estimated fair value of the Company’s common stock at the time of grant. That cost is expected to be recognized over a weighted average period of 2.71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2020, the Board of Directors adopted and stockholders approved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January 31, 2024, 4,514,806 shares of common stock remain available for grant under the ESPP.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for the ESPP began on July 1, 2021 and ended on December 31, 2021. Thereafter, offering periods will begin on January 1 and July 1.</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ESPP shares is estimated at the date of grant using the Black-Scholes option valuation model based on assumptions as follows for ESPP awards: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life.</w:t>
      </w:r>
      <w:r>
        <w:rPr>
          <w:color w:val="000000"/>
        </w:rPr>
        <w:t xml:space="preserve"> </w:t>
      </w:r>
      <w:r>
        <w:rPr>
          <w:rFonts w:ascii="Times New Roman;sans-serif" w:hAnsi="Times New Roman;sans-serif"/>
          <w:b w:val="false"/>
          <w:color w:val="000000"/>
          <w:sz w:val="20"/>
        </w:rPr>
        <w:t>The expected life reflects the period for which the Company believes the ESPP will remain outstanding. The expected term for the ESPP award approximates the offering period of six months.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is based on the historical volatility of the Company's common stock.</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dividends.</w:t>
      </w:r>
      <w:r>
        <w:rPr>
          <w:color w:val="000000"/>
        </w:rPr>
        <w:t xml:space="preserve"> </w:t>
      </w:r>
      <w:r>
        <w:rPr>
          <w:rFonts w:ascii="Times New Roman;sans-serif" w:hAnsi="Times New Roman;sans-serif"/>
          <w:b w:val="false"/>
          <w:color w:val="000000"/>
          <w:sz w:val="20"/>
        </w:rPr>
        <w:t xml:space="preserve">The expected dividend yield is zero as the Company has not and does not expect to pay dividends.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reflects the U.S. Treasury yield for a similar expected life instrument in effect at the time of the grant of the ESPP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utilized for the ESPP shares for the fiscal years ended January 31, 2022, 2023, and 2024 were as follows:</w:t>
      </w:r>
    </w:p>
    <w:tbl>
      <w:tblPr>
        <w:tblW w:w="7512" w:type="dxa"/>
        <w:jc w:val="center"/>
        <w:tblInd w:w="0" w:type="dxa"/>
        <w:tblLayout w:type="fixed"/>
        <w:tblCellMar>
          <w:top w:w="28" w:type="dxa"/>
          <w:left w:w="28" w:type="dxa"/>
          <w:bottom w:w="28" w:type="dxa"/>
          <w:right w:w="28" w:type="dxa"/>
        </w:tblCellMar>
      </w:tblPr>
      <w:tblGrid>
        <w:gridCol w:w="723"/>
        <w:gridCol w:w="635"/>
        <w:gridCol w:w="637"/>
        <w:gridCol w:w="502"/>
        <w:gridCol w:w="502"/>
        <w:gridCol w:w="510"/>
        <w:gridCol w:w="155"/>
        <w:gridCol w:w="155"/>
        <w:gridCol w:w="155"/>
        <w:gridCol w:w="502"/>
        <w:gridCol w:w="502"/>
        <w:gridCol w:w="510"/>
        <w:gridCol w:w="155"/>
        <w:gridCol w:w="155"/>
        <w:gridCol w:w="155"/>
        <w:gridCol w:w="471"/>
        <w:gridCol w:w="471"/>
        <w:gridCol w:w="61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48.70% - 49.65%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49.65% - 84.59%</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38.70% - 61.86%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0.05% - 0.22%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0.22% - 4.77%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4.77% - 5.53%</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total unrecognized compensation expense related to the ESPP was $0.6 million. That cost is expected to be recognized over the remaining term of the offering period that began on January 1, 2024 and will end on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included in our consolidated statements of operations were as follows:</w:t>
      </w:r>
    </w:p>
    <w:tbl>
      <w:tblPr>
        <w:tblW w:w="7827" w:type="dxa"/>
        <w:jc w:val="left"/>
        <w:tblInd w:w="0" w:type="dxa"/>
        <w:tblLayout w:type="fixed"/>
        <w:tblCellMar>
          <w:top w:w="28" w:type="dxa"/>
          <w:left w:w="28" w:type="dxa"/>
          <w:bottom w:w="28" w:type="dxa"/>
          <w:right w:w="28" w:type="dxa"/>
        </w:tblCellMar>
      </w:tblPr>
      <w:tblGrid>
        <w:gridCol w:w="1451"/>
        <w:gridCol w:w="1273"/>
        <w:gridCol w:w="1281"/>
        <w:gridCol w:w="211"/>
        <w:gridCol w:w="721"/>
        <w:gridCol w:w="109"/>
        <w:gridCol w:w="109"/>
        <w:gridCol w:w="109"/>
        <w:gridCol w:w="109"/>
        <w:gridCol w:w="211"/>
        <w:gridCol w:w="721"/>
        <w:gridCol w:w="109"/>
        <w:gridCol w:w="109"/>
        <w:gridCol w:w="109"/>
        <w:gridCol w:w="109"/>
        <w:gridCol w:w="211"/>
        <w:gridCol w:w="721"/>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stock-based compensation expense</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$0.2 million benefit incurred for the fiscal year ended January 31, 2023 in connection with the restructuring plan commenced in January 2023. See Note 19 "Restructuring"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loss before income taxes by domestic and foreign jurisdictions were as follows:</w:t>
      </w:r>
    </w:p>
    <w:tbl>
      <w:tblPr>
        <w:tblW w:w="6312" w:type="dxa"/>
        <w:jc w:val="left"/>
        <w:tblInd w:w="0" w:type="dxa"/>
        <w:tblLayout w:type="fixed"/>
        <w:tblCellMar>
          <w:top w:w="28" w:type="dxa"/>
          <w:left w:w="28" w:type="dxa"/>
          <w:bottom w:w="28" w:type="dxa"/>
          <w:right w:w="28" w:type="dxa"/>
        </w:tblCellMar>
      </w:tblPr>
      <w:tblGrid>
        <w:gridCol w:w="784"/>
        <w:gridCol w:w="686"/>
        <w:gridCol w:w="690"/>
        <w:gridCol w:w="211"/>
        <w:gridCol w:w="796"/>
        <w:gridCol w:w="109"/>
        <w:gridCol w:w="109"/>
        <w:gridCol w:w="109"/>
        <w:gridCol w:w="109"/>
        <w:gridCol w:w="211"/>
        <w:gridCol w:w="901"/>
        <w:gridCol w:w="109"/>
        <w:gridCol w:w="109"/>
        <w:gridCol w:w="109"/>
        <w:gridCol w:w="109"/>
        <w:gridCol w:w="211"/>
        <w:gridCol w:w="79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income tax provision (benefit) consisted of the following:</w:t>
      </w:r>
    </w:p>
    <w:tbl>
      <w:tblPr>
        <w:tblW w:w="6746" w:type="dxa"/>
        <w:jc w:val="left"/>
        <w:tblInd w:w="0" w:type="dxa"/>
        <w:tblLayout w:type="fixed"/>
        <w:tblCellMar>
          <w:top w:w="28" w:type="dxa"/>
          <w:left w:w="28" w:type="dxa"/>
          <w:bottom w:w="28" w:type="dxa"/>
          <w:right w:w="28" w:type="dxa"/>
        </w:tblCellMar>
      </w:tblPr>
      <w:tblGrid>
        <w:gridCol w:w="1141"/>
        <w:gridCol w:w="947"/>
        <w:gridCol w:w="971"/>
        <w:gridCol w:w="211"/>
        <w:gridCol w:w="796"/>
        <w:gridCol w:w="109"/>
        <w:gridCol w:w="109"/>
        <w:gridCol w:w="109"/>
        <w:gridCol w:w="109"/>
        <w:gridCol w:w="211"/>
        <w:gridCol w:w="616"/>
        <w:gridCol w:w="109"/>
        <w:gridCol w:w="109"/>
        <w:gridCol w:w="109"/>
        <w:gridCol w:w="109"/>
        <w:gridCol w:w="211"/>
        <w:gridCol w:w="61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differences between income taxes expected at the U.S. federal statutory income tax rate and the reported income tax (provision) benefit are summarized as follows:</w:t>
      </w:r>
    </w:p>
    <w:tbl>
      <w:tblPr>
        <w:tblW w:w="8644" w:type="dxa"/>
        <w:jc w:val="left"/>
        <w:tblInd w:w="0" w:type="dxa"/>
        <w:tblLayout w:type="fixed"/>
        <w:tblCellMar>
          <w:top w:w="28" w:type="dxa"/>
          <w:left w:w="28" w:type="dxa"/>
          <w:bottom w:w="28" w:type="dxa"/>
          <w:right w:w="28" w:type="dxa"/>
        </w:tblCellMar>
      </w:tblPr>
      <w:tblGrid>
        <w:gridCol w:w="1887"/>
        <w:gridCol w:w="1663"/>
        <w:gridCol w:w="1669"/>
        <w:gridCol w:w="291"/>
        <w:gridCol w:w="294"/>
        <w:gridCol w:w="300"/>
        <w:gridCol w:w="120"/>
        <w:gridCol w:w="120"/>
        <w:gridCol w:w="120"/>
        <w:gridCol w:w="291"/>
        <w:gridCol w:w="294"/>
        <w:gridCol w:w="300"/>
        <w:gridCol w:w="120"/>
        <w:gridCol w:w="120"/>
        <w:gridCol w:w="120"/>
        <w:gridCol w:w="291"/>
        <w:gridCol w:w="294"/>
        <w:gridCol w:w="350"/>
      </w:tblGrid>
      <w:tr>
        <w:trPr/>
        <w:tc>
          <w:tcPr>
            <w:tcW w:w="188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at statutory rate of 21% for 2022, 2023, and 2024</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(provision) benefit, net of federal impact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tax rate law changes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GILTI inclusion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return to provision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net deferred tax assets and liabilities were as follows:</w:t>
      </w:r>
    </w:p>
    <w:tbl>
      <w:tblPr>
        <w:tblW w:w="7059" w:type="dxa"/>
        <w:jc w:val="left"/>
        <w:tblInd w:w="0" w:type="dxa"/>
        <w:tblLayout w:type="fixed"/>
        <w:tblCellMar>
          <w:top w:w="28" w:type="dxa"/>
          <w:left w:w="28" w:type="dxa"/>
          <w:bottom w:w="28" w:type="dxa"/>
          <w:right w:w="28" w:type="dxa"/>
        </w:tblCellMar>
      </w:tblPr>
      <w:tblGrid>
        <w:gridCol w:w="1593"/>
        <w:gridCol w:w="1399"/>
        <w:gridCol w:w="1403"/>
        <w:gridCol w:w="211"/>
        <w:gridCol w:w="826"/>
        <w:gridCol w:w="109"/>
        <w:gridCol w:w="109"/>
        <w:gridCol w:w="109"/>
        <w:gridCol w:w="109"/>
        <w:gridCol w:w="211"/>
        <w:gridCol w:w="826"/>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and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Reserves and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were included in the consolidated balance sheets as follows:</w:t>
      </w:r>
    </w:p>
    <w:tbl>
      <w:tblPr>
        <w:tblW w:w="6054" w:type="dxa"/>
        <w:jc w:val="left"/>
        <w:tblInd w:w="0" w:type="dxa"/>
        <w:tblLayout w:type="fixed"/>
        <w:tblCellMar>
          <w:top w:w="28" w:type="dxa"/>
          <w:left w:w="28" w:type="dxa"/>
          <w:bottom w:w="28" w:type="dxa"/>
          <w:right w:w="28" w:type="dxa"/>
        </w:tblCellMar>
      </w:tblPr>
      <w:tblGrid>
        <w:gridCol w:w="1351"/>
        <w:gridCol w:w="1190"/>
        <w:gridCol w:w="1194"/>
        <w:gridCol w:w="211"/>
        <w:gridCol w:w="691"/>
        <w:gridCol w:w="109"/>
        <w:gridCol w:w="109"/>
        <w:gridCol w:w="109"/>
        <w:gridCol w:w="109"/>
        <w:gridCol w:w="211"/>
        <w:gridCol w:w="61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expenses and other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which is included in accrued expenses and other current liabilities on the consolidated balance sheets as of January 31, 2023 and 2024 were $1.3 million and $2.0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continually assesses the realizability of its deferred tax assets based on an evaluative process that considers all available positive and negative evidence. The Company has established a valuation allowance in the amount of $138.4 million and $148.3 million as of January 31, 2023 and 2024, respectively, because the Company believes it is not more likely than not the deferred tax asset in jurisdictions excluding several foreign jurisdictions will be realized.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Based on all available positive and negative evidence, having demonstrated sustained profitability and cumulative pre-tax book income for the past three years, which is objective and verifiable, the Company concluded that it is more likely than not that the Company’s United Kingdom deferred tax assets will be realizable. As a result, the Company released the valuation allowance against the United Kingdom deferred tax assets and reflected the release as a component of income tax provision (benefit) in the amount of $3.7 million as of the fiscal year ended January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fiscal years ended January 31, 2022, 2023, and 2024, the valuation allowance increased by $39.0 million, $29.3 million, and $9.9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SimpleNexus acquisition, the Company recorded a net U.S. deferred tax asset which is offset with a valuation allowance. On the Acquisition Date, the Company recorded net U.S. deferred tax liabilities, most of which relate to identifiable finite-life intangible assets. The Company evaluated this positive evidence and determined a portion of these deferred tax liabilities allow the Company to recognize $24.6 million of the Company’s U.S. deferred tax assets, which results in a reduction of the valuation allowance. In accordance with ASC 805-740-30-3, the Company reflected the reduction of the valuation allowance as a component of income tax provision (benefit) at the Acquisition Date, and during the fiscal year ended January 31,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assertion of the Company’s intent for certain foreign earnings to be indefinitely reinvested. As of January 31, 2024, the Company has not recorded taxes on approximately $24.4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tax liability will be recognized, which could include other taxes such as withholding tax. The determination of the amount of the unrecognized tax liability is directly influenced by the Company’s net operating loss and valuation allowance position in the U.S. If the Company were to repatriate the undistributed earnings, the tax liability is $1.1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net operating loss and tax credit carryforwards as of January 31, 2024 were as follows:</w:t>
      </w:r>
    </w:p>
    <w:tbl>
      <w:tblPr>
        <w:tblW w:w="7706" w:type="dxa"/>
        <w:jc w:val="left"/>
        <w:tblInd w:w="0" w:type="dxa"/>
        <w:tblLayout w:type="fixed"/>
        <w:tblCellMar>
          <w:top w:w="28" w:type="dxa"/>
          <w:left w:w="28" w:type="dxa"/>
          <w:bottom w:w="28" w:type="dxa"/>
          <w:right w:w="28" w:type="dxa"/>
        </w:tblCellMar>
      </w:tblPr>
      <w:tblGrid>
        <w:gridCol w:w="1237"/>
        <w:gridCol w:w="1088"/>
        <w:gridCol w:w="1094"/>
        <w:gridCol w:w="368"/>
        <w:gridCol w:w="1257"/>
        <w:gridCol w:w="190"/>
        <w:gridCol w:w="109"/>
        <w:gridCol w:w="109"/>
        <w:gridCol w:w="109"/>
        <w:gridCol w:w="626"/>
        <w:gridCol w:w="626"/>
        <w:gridCol w:w="893"/>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xml:space="preserve">First Fiscal Year Expiring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net operating loss carryforwards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Federal net operating loss carryforwards</w:t>
            </w:r>
            <w:r>
              <w:rPr>
                <w:rFonts w:ascii="Times New Roman;sans-serif" w:hAnsi="Times New Roman;sans-serif"/>
                <w:b w:val="false"/>
                <w:color w:val="000000"/>
                <w:sz w:val="13"/>
              </w:rPr>
              <w:t>1</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Non-expiring</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State net operating loss carryforwards</w:t>
            </w:r>
            <w:r>
              <w:rPr>
                <w:rFonts w:ascii="Times New Roman;sans-serif" w:hAnsi="Times New Roman;sans-serif"/>
                <w:b w:val="false"/>
                <w:color w:val="000000"/>
                <w:sz w:val="13"/>
              </w:rPr>
              <w:t>1</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State net operating loss carryforwards</w:t>
            </w:r>
            <w:r>
              <w:rPr>
                <w:rFonts w:ascii="Times New Roman;sans-serif" w:hAnsi="Times New Roman;sans-serif"/>
                <w:b w:val="false"/>
                <w:color w:val="000000"/>
                <w:sz w:val="13"/>
              </w:rPr>
              <w:t>1</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Non-expiring</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 carryforwards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Non-expiring</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Federal tax credit carryforwards</w:t>
            </w:r>
            <w:r>
              <w:rPr>
                <w:rFonts w:ascii="Times New Roman;sans-serif" w:hAnsi="Times New Roman;sans-serif"/>
                <w:b w:val="false"/>
                <w:color w:val="000000"/>
                <w:sz w:val="13"/>
              </w:rPr>
              <w:t>1</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credit carryforwards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Company acquired a portion of these carryforwards in the SimpleNexus acquisition during the fiscal year ended January 31, 2022. These acquired carryforwards will be subject to limitations which could limit the Company's utilization in future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U.S. federal and various state and foreign jurisdictions. As of January 31, 2024, the Company is no longer subject to U.S. federal and state examinations by tax authorities for tax years prior to 2020. However, amounts reported as net operating losses and tax credit carryforwards from these tax periods remain subject to review by most tax authorities.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Tax Cuts and Job Act of 2017 (the “U.S. Tax Legislation”) was enacted on December 22, 2017. The U.S. Tax Legislation significantly revised the United States tax code by, among other things, introducing a tax on foreign earnings in excess of a deemed return on tangible assets of foreign corporations (known as “GILTI”) for tax years beginning after December 31, 2017. The guidance indicated that companies must make a policy election to either record deferred taxes for basis differences expected to reverse as a result of the GILTI provisions in future years or treat any taxes on GILTI inclusions as period costs when incurred. The Company completed its analysis of the tax effects of the GILTI provisions as of January 31, 2024 and elected to account for these tax effects as period costs when incurred.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of Economic Cooperation and Development introduced its Pillar Two Framework Model Rules ("Pillar 2"). The Company does not expect Pillar 2 to impact its tax liability and will continue to monitor and reflect the impact of such legislative changes in future financial statements as appropriate.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2023 and 2024, the Company has not recognized any unrecognized tax benefits, interest or penalties for any income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Defined Contribution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2022, 2023, and 2024 were $3.2 million, $7.0 million, and $3.3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Leases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and a portion of its equipment under various non-cancellable agreements, which expire at various times through December 2033, some of which include options to extend for up to five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5636" w:type="dxa"/>
        <w:jc w:val="left"/>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61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were as follows:</w:t>
      </w:r>
    </w:p>
    <w:tbl>
      <w:tblPr>
        <w:tblW w:w="10205" w:type="dxa"/>
        <w:jc w:val="left"/>
        <w:tblInd w:w="0" w:type="dxa"/>
        <w:tblLayout w:type="fixed"/>
        <w:tblCellMar>
          <w:top w:w="28" w:type="dxa"/>
          <w:left w:w="28" w:type="dxa"/>
          <w:bottom w:w="28" w:type="dxa"/>
          <w:right w:w="28" w:type="dxa"/>
        </w:tblCellMar>
      </w:tblPr>
      <w:tblGrid>
        <w:gridCol w:w="2428"/>
        <w:gridCol w:w="2128"/>
        <w:gridCol w:w="2140"/>
        <w:gridCol w:w="211"/>
        <w:gridCol w:w="616"/>
        <w:gridCol w:w="109"/>
        <w:gridCol w:w="109"/>
        <w:gridCol w:w="109"/>
        <w:gridCol w:w="109"/>
        <w:gridCol w:w="211"/>
        <w:gridCol w:w="616"/>
        <w:gridCol w:w="109"/>
        <w:gridCol w:w="109"/>
        <w:gridCol w:w="109"/>
        <w:gridCol w:w="109"/>
        <w:gridCol w:w="211"/>
        <w:gridCol w:w="616"/>
        <w:gridCol w:w="156"/>
      </w:tblGrid>
      <w:tr>
        <w:trPr/>
        <w:tc>
          <w:tcPr>
            <w:tcW w:w="242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obtained in exchange for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Modification to reduce operating right-of-use assets and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and operating lease liabilities disposed of</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and weighted-average discount rate for the Company's operating lease liabilities as of January 31, 2024 were 6.72 years and 5.6%,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January 31, 2024 were as follows:</w:t>
      </w:r>
    </w:p>
    <w:tbl>
      <w:tblPr>
        <w:tblW w:w="3839" w:type="dxa"/>
        <w:jc w:val="left"/>
        <w:tblInd w:w="0" w:type="dxa"/>
        <w:tblLayout w:type="fixed"/>
        <w:tblCellMar>
          <w:top w:w="28" w:type="dxa"/>
          <w:left w:w="28" w:type="dxa"/>
          <w:bottom w:w="28" w:type="dxa"/>
          <w:right w:w="28" w:type="dxa"/>
        </w:tblCellMar>
      </w:tblPr>
      <w:tblGrid>
        <w:gridCol w:w="878"/>
        <w:gridCol w:w="772"/>
        <w:gridCol w:w="779"/>
        <w:gridCol w:w="274"/>
        <w:gridCol w:w="936"/>
        <w:gridCol w:w="200"/>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Revolving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Credit Facility bear interest, at the Borrower’s option, at: (i) a base rate equal to the greater of (a) the Lender’s “prime rate,” (b) the federal funds rate plus 0.50%, and (c) the Bloomberg Short Term Bank Yield Index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repay amounts borrowed any time without penalty. Borrowings under the Credit Facility may be reborrowed.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which is considered restricted cash and is included in long-term prepaid expenses and other assets as of January 31, 2023 and January 31, 2024 on the Company's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$30.0 million and $0.0 million outstanding and no letters of credit issued under the Credit Facility and was in compliance with all covenants as of January 31, 2023 and January 31, 2024, respectively. The available borrowing capacity under the Credit Facility was $50.0 million as of January 31, 2024.</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20 "Subsequent Events"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16.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operating lease commitments described in Note 14 "Leases", the Company has additional contractual commitments as described further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purchase commitments consist of non-cancellable agreements to purchase goods and services, primarily licenses and hosting services, entered into in the ordinary course of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Financing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lease agreement for the Company's headquarters in November 2020 in connection with a new lessor acquiring the property. Due to a purchase option contained in that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that lease. The fair value of the leased property and corresponding financing obligation are included in property and equipment, net and financing obligations on the consolidated balance sheets,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entered into an amendment to its November 2020 headquarters lease to provide for construction of a parking deck, which upon completion was subject to exclusive use by the Company.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entered into a new lease agreement for the construction of an additional office building that is on the same parcel of land as the Company's existing headquarters. Due to a purchase option contained in that April 2021 lease, the Company is also deemed to be the owner of the additional building for accounting purposes, the costs associated with the construction of the additional building were capitalized as construction in progress with a corresponding construction liability through construction. Upon completion of the additional building in November 2022, for approximately $22.4 million, the costs of the construction in progress and the corresponding construction liability were reclassified to property and equipment, net and financing obligations on the consolidated balance sheets, respectively, and the term of the Company's November 2020 lease for its headquarters and the related parking deck became coterminous with the April 2021 lease. The term of the April 2021 lease expires in October 2037 with options to extend. The purchase option expires if not exercised on or before November 30, 2026.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leases will be analyzed for applicable lease accounting upon expiration of the purchase option, if not exercised.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 and future minimum lease payments required under financing obligations as of January 31, 2024 is as follows:</w:t>
      </w:r>
    </w:p>
    <w:tbl>
      <w:tblPr>
        <w:tblW w:w="8441" w:type="dxa"/>
        <w:jc w:val="left"/>
        <w:tblInd w:w="0" w:type="dxa"/>
        <w:tblLayout w:type="fixed"/>
        <w:tblCellMar>
          <w:top w:w="28" w:type="dxa"/>
          <w:left w:w="28" w:type="dxa"/>
          <w:bottom w:w="28" w:type="dxa"/>
          <w:right w:w="28" w:type="dxa"/>
        </w:tblCellMar>
      </w:tblPr>
      <w:tblGrid>
        <w:gridCol w:w="1263"/>
        <w:gridCol w:w="1111"/>
        <w:gridCol w:w="1121"/>
        <w:gridCol w:w="326"/>
        <w:gridCol w:w="1276"/>
        <w:gridCol w:w="168"/>
        <w:gridCol w:w="109"/>
        <w:gridCol w:w="109"/>
        <w:gridCol w:w="109"/>
        <w:gridCol w:w="553"/>
        <w:gridCol w:w="1892"/>
        <w:gridCol w:w="404"/>
      </w:tblGrid>
      <w:tr>
        <w:trPr/>
        <w:tc>
          <w:tcPr>
            <w:tcW w:w="12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obligations - leased facility</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financing obligations and assets</w:t>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54,154 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associated lease payments are recognized as interest expense and the remainder reduces the financing obligations. The weighted-average discount rate for the Company's financing obligations as of January 31, 2024 was 5.7%.</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consolidated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or is subject to claims arising in the ordinary course of business including the following:</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w:t>
      </w:r>
      <w:r>
        <w:rPr>
          <w:color w:val="000000"/>
        </w:rPr>
        <w:t xml:space="preserve"> </w:t>
      </w:r>
      <w:r>
        <w:rPr>
          <w:rFonts w:ascii="Times New Roman;sans-serif" w:hAnsi="Times New Roman;sans-serif"/>
          <w:b w:val="false"/>
          <w:color w:val="000000"/>
          <w:sz w:val="20"/>
        </w:rPr>
        <w:t>the Company, Live Oak Bancshares, Inc. ("Live Oak") and Apiture, Inc. ("Apiture") not to solicit or hire each other’s employees in violation of Section 1 of the Sherman Act</w:t>
      </w:r>
      <w:r>
        <w:rPr>
          <w:color w:val="000000"/>
        </w:rPr>
        <w:t xml:space="preserve"> </w:t>
      </w:r>
      <w:r>
        <w:rPr>
          <w:rFonts w:ascii="Times New Roman;sans-serif" w:hAnsi="Times New Roman;sans-serif"/>
          <w:b w:val="false"/>
          <w:color w:val="000000"/>
          <w:sz w:val="20"/>
        </w:rPr>
        <w:t xml:space="preserve">and N.C. Gen Stat. §§ 75-1 and 75-2. The complaint seeks treble damages and additional remedies, including restitution, disgorgement,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pPr>
      <w:r>
        <w:rPr>
          <w:rFonts w:ascii="Times New Roman;sans-serif" w:hAnsi="Times New Roman;sans-serif"/>
          <w:b w:val="false"/>
          <w:color w:val="000000"/>
          <w:sz w:val="20"/>
        </w:rPr>
        <w:t>attorneys’ fees, the costs of the suit,</w:t>
      </w:r>
      <w:r>
        <w:rPr>
          <w:color w:val="000000"/>
        </w:rPr>
        <w:t xml:space="preserve"> </w:t>
      </w:r>
      <w:r>
        <w:rPr>
          <w:rFonts w:ascii="Times New Roman;sans-serif" w:hAnsi="Times New Roman;sans-serif"/>
          <w:b w:val="false"/>
          <w:color w:val="000000"/>
          <w:sz w:val="20"/>
        </w:rPr>
        <w:t>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In July 2023, through mediation, the Company and the plaintiff reached a settlement agreement in principle of approximately $2.2 million. The Company remitted the $2.2 million settlement to an escrow agent in the fourth quarter of fiscal 2024, and the District Court entered the Final Judgement of Dismissal on March 14,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 Given the uncertainty and preliminary stages of this matter, the Company is unable to reasonably estimate any possible loss or range of loss that may result. Therefore, the Company has not made an accrual for the above matter in the consolidated financial statements. On December 28, 2023, the Delaware Court of Chancery granted in full defendants' motions to dismiss the complaint. On January 25, 2024, the plaintiff filed a notice of appeal.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17. Related-Party Transactions</w:t>
      </w:r>
    </w:p>
    <w:p>
      <w:pPr>
        <w:pStyle w:val="TextBody"/>
        <w:bidi w:val="0"/>
        <w:spacing w:lineRule="auto" w:line="288" w:before="16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largest vendor was also an equityholder in the Company. Total payments related to the reseller agreement with this party are disclosed in Note 9 "Reseller Agreement." The Company also purchases services from this party to assist in managing its own sales cycle, customer relationship management, and other business functions. Based solely on information reported in a Schedule 13G/A filed with the SEC on February 11, 2022, this vendor was no longer considered a related party as of December 31, 2021, and the amounts disclosed related to them are accordingly presented while the vendor was considered a related party. The Company continues to do business with the vendor and transactions after December 31, 2021 are no longer disclosed. Total payments for these services recorded to expenses were $1.5 million for the fiscal year ended January 31, 2022.</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the Merger Agreement on January 7, 2022, as disclosed in Note 1 "Organization and Description of Business" and Note 7 "Business Combinations." Affiliates of Insight Partners were equityholders of SimpleNexus and certain other parties in connection with the Merger Agreement transaction, and other affiliates of Insight Partners are currently significant stockholders of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2022, the Company's wholly-owned subsidiary, nCino OpCo, acquired preferred shares of ZestFinance, Inc. (d/b/a ZEST AI) ("Zest AI"), a private company, for $2.5 million and is included in investments as of January 31, 2023 and January 31, 2024 on the Company's consolidated balance sheets. The investment is considered a related party transaction as entities affiliated with Insight Partners, a beneficial owner of the Company, own greater than ten percent of Zest AI. On May 23, 2023, the Company announced a strategic partnership with Zest AI to build an integration into the Company's consumer banking solution to enable lenders with streamlined access to consumer credit lending insights.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18. Basic and Diluted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fiscal years ended January 31, 2022, 2023, and 2024 is the same as the basic loss per share as there was a net loss for those periods, and inclusion of potentially issuable shares was anti-dilutive.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loss per share for periods presented are as follows (in thousands, except share and per share data):</w:t>
      </w:r>
    </w:p>
    <w:tbl>
      <w:tblPr>
        <w:tblW w:w="9293" w:type="dxa"/>
        <w:jc w:val="left"/>
        <w:tblInd w:w="0" w:type="dxa"/>
        <w:tblLayout w:type="fixed"/>
        <w:tblCellMar>
          <w:top w:w="28" w:type="dxa"/>
          <w:left w:w="28" w:type="dxa"/>
          <w:bottom w:w="28" w:type="dxa"/>
          <w:right w:w="28" w:type="dxa"/>
        </w:tblCellMar>
      </w:tblPr>
      <w:tblGrid>
        <w:gridCol w:w="1739"/>
        <w:gridCol w:w="1534"/>
        <w:gridCol w:w="1541"/>
        <w:gridCol w:w="240"/>
        <w:gridCol w:w="841"/>
        <w:gridCol w:w="109"/>
        <w:gridCol w:w="109"/>
        <w:gridCol w:w="109"/>
        <w:gridCol w:w="109"/>
        <w:gridCol w:w="237"/>
        <w:gridCol w:w="949"/>
        <w:gridCol w:w="109"/>
        <w:gridCol w:w="109"/>
        <w:gridCol w:w="109"/>
        <w:gridCol w:w="109"/>
        <w:gridCol w:w="264"/>
        <w:gridCol w:w="922"/>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96,722,464 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112,672,397 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attributable to nCino, Inc.</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outstanding common stock were excluded from the diluted loss per share computation because the effect would have been anti-dilutive:</w:t>
      </w:r>
    </w:p>
    <w:tbl>
      <w:tblPr>
        <w:tblW w:w="7794" w:type="dxa"/>
        <w:jc w:val="left"/>
        <w:tblInd w:w="0" w:type="dxa"/>
        <w:tblLayout w:type="fixed"/>
        <w:tblCellMar>
          <w:top w:w="28" w:type="dxa"/>
          <w:left w:w="28" w:type="dxa"/>
          <w:bottom w:w="28" w:type="dxa"/>
          <w:right w:w="28" w:type="dxa"/>
        </w:tblCellMar>
      </w:tblPr>
      <w:tblGrid>
        <w:gridCol w:w="1233"/>
        <w:gridCol w:w="1084"/>
        <w:gridCol w:w="1087"/>
        <w:gridCol w:w="488"/>
        <w:gridCol w:w="488"/>
        <w:gridCol w:w="156"/>
        <w:gridCol w:w="155"/>
        <w:gridCol w:w="155"/>
        <w:gridCol w:w="155"/>
        <w:gridCol w:w="488"/>
        <w:gridCol w:w="488"/>
        <w:gridCol w:w="156"/>
        <w:gridCol w:w="155"/>
        <w:gridCol w:w="155"/>
        <w:gridCol w:w="155"/>
        <w:gridCol w:w="488"/>
        <w:gridCol w:w="488"/>
        <w:gridCol w:w="220"/>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2,629,109 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1,212,704 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3,012,440 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5,626,125 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19. Restructuring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2023, the Company announced a workforce reduction of approximately 7% and office space reductions in certain markets (collectively, the “restructuring plan”) in furtherance of its efforts to improve operating margins and advance the Company’s objective of profitable growth.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termination costs were accounted for in accordance with ASC 842, Leases. The Company paid $0.8 million in the fourth quarter of fiscal 2023 to exercise an early termination clause to exit a facility during fiscal 2024, which was accounted for as a lease modification.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charges in the fourth quarter of the Company’s fiscal 2023 of $4.8 million in connection with the restructuring plan. The accrual for severance and related benefit costs of $5.0 million for terminated employees was included in accrued compensation and benefits on the consolidated balance sheets as of January 31, 2023 and was paid in the first quarter of the Company’s fiscal 2024. The Company had no restructuring charges for the fiscal year ended January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were as follows:</w:t>
      </w:r>
    </w:p>
    <w:tbl>
      <w:tblPr>
        <w:tblW w:w="10783" w:type="dxa"/>
        <w:jc w:val="left"/>
        <w:tblInd w:w="0" w:type="dxa"/>
        <w:tblLayout w:type="fixed"/>
        <w:tblCellMar>
          <w:top w:w="28" w:type="dxa"/>
          <w:left w:w="28" w:type="dxa"/>
          <w:bottom w:w="28" w:type="dxa"/>
          <w:right w:w="28" w:type="dxa"/>
        </w:tblCellMar>
      </w:tblPr>
      <w:tblGrid>
        <w:gridCol w:w="573"/>
        <w:gridCol w:w="358"/>
        <w:gridCol w:w="360"/>
        <w:gridCol w:w="211"/>
        <w:gridCol w:w="616"/>
        <w:gridCol w:w="109"/>
        <w:gridCol w:w="109"/>
        <w:gridCol w:w="109"/>
        <w:gridCol w:w="109"/>
        <w:gridCol w:w="288"/>
        <w:gridCol w:w="658"/>
        <w:gridCol w:w="150"/>
        <w:gridCol w:w="109"/>
        <w:gridCol w:w="109"/>
        <w:gridCol w:w="109"/>
        <w:gridCol w:w="211"/>
        <w:gridCol w:w="361"/>
        <w:gridCol w:w="109"/>
        <w:gridCol w:w="109"/>
        <w:gridCol w:w="109"/>
        <w:gridCol w:w="109"/>
        <w:gridCol w:w="211"/>
        <w:gridCol w:w="616"/>
        <w:gridCol w:w="109"/>
        <w:gridCol w:w="109"/>
        <w:gridCol w:w="109"/>
        <w:gridCol w:w="109"/>
        <w:gridCol w:w="244"/>
        <w:gridCol w:w="470"/>
        <w:gridCol w:w="127"/>
        <w:gridCol w:w="109"/>
        <w:gridCol w:w="109"/>
        <w:gridCol w:w="109"/>
        <w:gridCol w:w="318"/>
        <w:gridCol w:w="612"/>
        <w:gridCol w:w="166"/>
        <w:gridCol w:w="109"/>
        <w:gridCol w:w="109"/>
        <w:gridCol w:w="109"/>
        <w:gridCol w:w="211"/>
        <w:gridCol w:w="466"/>
        <w:gridCol w:w="109"/>
        <w:gridCol w:w="109"/>
        <w:gridCol w:w="109"/>
        <w:gridCol w:w="109"/>
        <w:gridCol w:w="211"/>
        <w:gridCol w:w="46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Lease exit fees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Severance and other employee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Stock-based compensation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Lease exit fees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These expenses reduced operating lease right-of-use assets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20. Subsequent Events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2024, the Company entered into a First Amendment to extend the existing maturity date of the Credit Facility provided for under the Credit Agreement to February 11, 2025.</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2024, the Company entered into the Second Amendment which increased our borrowing availability to $100.0 million and extended the existing maturity date of the Credit Facility under the Credit Facility to March 17, 2029. Borrowings under the Credit Facility bear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The Company is also required to pay an unused commitment fee to the Lender of 0.30% of the average daily unutilized commitments (with a step down based on achievement of a certain leverage ratio). The Company must also pay customary letter of credit fees. The financial covenants require the Company and its subsidiaries on a consolidated basis to maintain (i) a Consolidated Senior Secured Leverage Ratio not in excess of 2.50:1.00 as of the end of any fiscal quarter, and (ii) a Consolidated Interest Coverage Ratio not less than 3.00:1.00 as of the end of any fiscal quarter beginning with the second quarter of fiscal year 2025.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March 18, 2024, the Company borrowed $75.0 million under the Credit Facility. The interest rate at time of borrowing was 7.36%.</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2024, the Company's wholly-owned subsidiary, nCino OpCo, acquired all of the outstanding equity of DocFox, Inc. ("DocFox"), a leading solution provider automating onboarding experiences for commercial and business banking. The aggregate purchase price for the DocFox acquisition totaled $75.0 million and was funded with proceeds from the Credit Facility and available cash on hand. The acquisition will be accounted for as a business combination under ASC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The Company is in the process of finalizing the accounting for this transaction and will complete the preliminary allocation of the purchase consideration to the assets acquired and liabilities assumed by the end of our first quarter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January 31, 2024, the last day of the period covered by this Annual Report on Form 10-K. Based on this evaluation, our Chief Executive Officer and Chief Financial Officer have concluded that, at January 31, 2024, our disclosure controls and procedures were effective at the reasonable assurance level.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of the Exchange Act. Under the supervision and with the participation of our management, including our Chief Executive Officer and Chief Financial Officer, we conducted an evaluation of the effectiveness of our internal control over financial reporting as of January 31, 2024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January 31,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January 31, 2024 has been audited by Ernst &amp; Young LLP, an independent registered public accounting firm, as stated in its report which is included in Part II, Item 8 of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identified in connection with the evaluation required by Rule 13a-15(d) and 15d-15(d) of the Exchange Act that occurred during the fiscal quarter ended January 31, 2024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Inherent Limitations on the Effectiveness of Controls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January 31, 2024, the following Section 16 officers or directors adopted, modified or terminated a “Rule 10b5-1 trading arrangement” as defined in Item 408 of Regulation S-K, as follows: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11, 2024, Josh Glover, President and Chief Revenue Officer, adopted a Rule 10b5-1 trading arrangement providing for the sale from time to time of an aggregate of up to 40,000 shares of our common stock. The trading arrangement is intended to satisfy the affirmative defense in Rule 10b5-1(c). The duration of the trading arrangement is until May 15, 2025,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Sean Desmond, Chief Customer Success Officer, adopted a Rule 10b5-1 trading arrangement providing for the sale from time to time of an aggregate of up to 33,000 shares of our common stock. The trading arrangement is intended to satisfy the affirmative defense in Rule 10b5-1(c). The duration of the trading arrangement is until September 3, 2024,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Gregory Orenstein, Chief Financial Officer &amp; Treasurer, adopted a Rule 10b5-1 trading arrangement providing for the sale from time to time of an aggregate of up to 172,448 shares of our common stock. The trading arrangement is intended to satisfy the affirmative defense in Rule 10b5-1(c). The duration of the trading arrangement is until January 17, 2025,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April Rieger, Chief Legal &amp; Compliance Officer and Secretary, adopted a Rule 10b5-1 trading arrangement providing for the sale from time to time of an aggregate of up to 39,144 shares of our common stock. The trading arrangement is intended to satisfy the affirmative defense in Rule 10b5-1(c). The duration of the trading arrangement is until January 17, 2025,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William Ruh, Director, adopted a Rule 10b5-1 trading arrangement providing for the sale from time to time of an aggregate of up to 185,000 shares of our common stock. The trading arrangement is intended to satisfy the affirmative defense in Rule 10b5-1(c). The duration of the trading arrangement is until January 16, 2025,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 other officers or directors, as defined in Rule 16a-1(f), adopted, modified, or terminated a “Rule 10b5-1 trading arrangement” or a “non-Rule 10b5-1 trading arrangement,” as defined in Regulation S-K Item 408, during the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10 is incorporated by reference from the sections entitled “</w:t>
      </w:r>
      <w:r>
        <w:rPr>
          <w:rFonts w:ascii="Times New Roman;sans-serif" w:hAnsi="Times New Roman;sans-serif"/>
          <w:b w:val="false"/>
          <w:i/>
          <w:color w:val="000000"/>
          <w:sz w:val="20"/>
        </w:rPr>
        <w:t>Proposal One: Election of Class I Directors Named in this Proxy Statement</w:t>
      </w:r>
      <w:r>
        <w:rPr>
          <w:rFonts w:ascii="Times New Roman;sans-serif" w:hAnsi="Times New Roman;sans-serif"/>
          <w:b w:val="false"/>
          <w:color w:val="000000"/>
          <w:sz w:val="20"/>
        </w:rPr>
        <w:t>,” “</w:t>
      </w:r>
      <w:r>
        <w:rPr>
          <w:rFonts w:ascii="Times New Roman;sans-serif" w:hAnsi="Times New Roman;sans-serif"/>
          <w:b w:val="false"/>
          <w:i/>
          <w:color w:val="000000"/>
          <w:sz w:val="20"/>
        </w:rPr>
        <w:t>Corporate Governance</w:t>
      </w:r>
      <w:r>
        <w:rPr>
          <w:rFonts w:ascii="Times New Roman;sans-serif" w:hAnsi="Times New Roman;sans-serif"/>
          <w:b w:val="false"/>
          <w:color w:val="000000"/>
          <w:sz w:val="20"/>
        </w:rPr>
        <w:t>,” and “</w:t>
      </w:r>
      <w:r>
        <w:rPr>
          <w:rFonts w:ascii="Times New Roman;sans-serif" w:hAnsi="Times New Roman;sans-serif"/>
          <w:b w:val="false"/>
          <w:i/>
          <w:color w:val="000000"/>
          <w:sz w:val="20"/>
        </w:rPr>
        <w:t>Executive Officers</w:t>
      </w:r>
      <w:r>
        <w:rPr>
          <w:color w:val="000000"/>
        </w:rPr>
        <w:t xml:space="preserve">” </w:t>
      </w:r>
      <w:r>
        <w:rPr>
          <w:rFonts w:ascii="Times New Roman;sans-serif" w:hAnsi="Times New Roman;sans-serif"/>
          <w:b w:val="false"/>
          <w:color w:val="000000"/>
          <w:sz w:val="20"/>
        </w:rPr>
        <w:t>from our Proxy Statement relating to our 2024 Annual Meeting of Shareholders which will be filed with the SEC within 120 days of the fiscal year ended January 31, 2024</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11 is incorporated by reference from the sections entitled “</w:t>
      </w:r>
      <w:r>
        <w:rPr>
          <w:rFonts w:ascii="Times New Roman;sans-serif" w:hAnsi="Times New Roman;sans-serif"/>
          <w:b w:val="false"/>
          <w:i/>
          <w:color w:val="000000"/>
          <w:sz w:val="20"/>
        </w:rPr>
        <w:t>Compensation Discussion and Analysis</w:t>
      </w:r>
      <w:r>
        <w:rPr>
          <w:rFonts w:ascii="Times New Roman;sans-serif" w:hAnsi="Times New Roman;sans-serif"/>
          <w:b w:val="false"/>
          <w:color w:val="000000"/>
          <w:sz w:val="20"/>
        </w:rPr>
        <w:t>,” “</w:t>
      </w:r>
      <w:r>
        <w:rPr>
          <w:rFonts w:ascii="Times New Roman;sans-serif" w:hAnsi="Times New Roman;sans-serif"/>
          <w:b w:val="false"/>
          <w:i/>
          <w:color w:val="000000"/>
          <w:sz w:val="20"/>
        </w:rPr>
        <w:t>Compensation Committee Report</w:t>
      </w:r>
      <w:r>
        <w:rPr>
          <w:rFonts w:ascii="Times New Roman;sans-serif" w:hAnsi="Times New Roman;sans-serif"/>
          <w:b w:val="false"/>
          <w:color w:val="000000"/>
          <w:sz w:val="20"/>
        </w:rPr>
        <w:t>,” "</w:t>
      </w:r>
      <w:r>
        <w:rPr>
          <w:rFonts w:ascii="Times New Roman;sans-serif" w:hAnsi="Times New Roman;sans-serif"/>
          <w:b w:val="false"/>
          <w:i/>
          <w:color w:val="000000"/>
          <w:sz w:val="20"/>
        </w:rPr>
        <w:t>Executive Compensation,</w:t>
      </w:r>
      <w:r>
        <w:rPr>
          <w:rFonts w:ascii="Times New Roman;sans-serif" w:hAnsi="Times New Roman;sans-serif"/>
          <w:b w:val="false"/>
          <w:color w:val="000000"/>
          <w:sz w:val="20"/>
        </w:rPr>
        <w:t>" and “</w:t>
      </w:r>
      <w:r>
        <w:rPr>
          <w:rFonts w:ascii="Times New Roman;sans-serif" w:hAnsi="Times New Roman;sans-serif"/>
          <w:b w:val="false"/>
          <w:i/>
          <w:color w:val="000000"/>
          <w:sz w:val="20"/>
        </w:rPr>
        <w:t>Director Compensation</w:t>
      </w:r>
      <w:r>
        <w:rPr>
          <w:color w:val="000000"/>
        </w:rPr>
        <w:t xml:space="preserve">” </w:t>
      </w:r>
      <w:r>
        <w:rPr>
          <w:rFonts w:ascii="Times New Roman;sans-serif" w:hAnsi="Times New Roman;sans-serif"/>
          <w:b w:val="false"/>
          <w:color w:val="000000"/>
          <w:sz w:val="20"/>
        </w:rPr>
        <w:t>from our Proxy Statement relating to our 2024 Annual Meeting of Shareholders which will be filed with the SEC within 120 days of the fiscal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12 is incorporated by reference from the sections entitled “</w:t>
      </w:r>
      <w:r>
        <w:rPr>
          <w:rFonts w:ascii="Times New Roman;sans-serif" w:hAnsi="Times New Roman;sans-serif"/>
          <w:b w:val="false"/>
          <w:i/>
          <w:color w:val="000000"/>
          <w:sz w:val="20"/>
        </w:rPr>
        <w:t>Security Ownership of Certain Beneficial Owners and Management</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Equity Compensation Plan Information</w:t>
      </w:r>
      <w:r>
        <w:rPr>
          <w:color w:val="000000"/>
        </w:rPr>
        <w:t xml:space="preserve">” </w:t>
      </w:r>
      <w:r>
        <w:rPr>
          <w:rFonts w:ascii="Times New Roman;sans-serif" w:hAnsi="Times New Roman;sans-serif"/>
          <w:b w:val="false"/>
          <w:color w:val="000000"/>
          <w:sz w:val="20"/>
        </w:rPr>
        <w:t>from our Proxy Statement relating to our 2024 Annual Meeting of Shareholders which will be filed with the SEC within 120 days of the fiscal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13 is incorporated by reference from the sections entitled “</w:t>
      </w:r>
      <w:r>
        <w:rPr>
          <w:rFonts w:ascii="Times New Roman;sans-serif" w:hAnsi="Times New Roman;sans-serif"/>
          <w:b w:val="false"/>
          <w:i/>
          <w:color w:val="000000"/>
          <w:sz w:val="20"/>
        </w:rPr>
        <w:t>Certain Relationships and Related Party Transactions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Director Independence</w:t>
      </w:r>
      <w:r>
        <w:rPr>
          <w:color w:val="000000"/>
        </w:rPr>
        <w:t xml:space="preserve">” </w:t>
      </w:r>
      <w:r>
        <w:rPr>
          <w:rFonts w:ascii="Times New Roman;sans-serif" w:hAnsi="Times New Roman;sans-serif"/>
          <w:b w:val="false"/>
          <w:color w:val="000000"/>
          <w:sz w:val="20"/>
        </w:rPr>
        <w:t>from our Proxy Statement relating to our 2024 Annual Meeting of Shareholders which will be filed with the SEC within 120 days of the fiscal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information required by this Item 14 is incorporated by reference from the sections entitled “</w:t>
      </w:r>
      <w:r>
        <w:rPr>
          <w:rFonts w:ascii="Times New Roman;sans-serif" w:hAnsi="Times New Roman;sans-serif"/>
          <w:b w:val="false"/>
          <w:i/>
          <w:color w:val="000000"/>
          <w:sz w:val="20"/>
        </w:rPr>
        <w:t>Principal Accountant Fees and Services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Pre-Approval Policy</w:t>
      </w:r>
      <w:r>
        <w:rPr>
          <w:color w:val="000000"/>
        </w:rPr>
        <w:t xml:space="preserve">” </w:t>
      </w:r>
      <w:r>
        <w:rPr>
          <w:rFonts w:ascii="Times New Roman;sans-serif" w:hAnsi="Times New Roman;sans-serif"/>
          <w:b w:val="false"/>
          <w:color w:val="000000"/>
          <w:sz w:val="20"/>
        </w:rPr>
        <w:t>from our Proxy Statement relating to our 2024 Annual Meeting of Shareholders which will be filed with the SEC within 120 days of the fiscal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in Part II, Item 8 of this Annual Report on Form 10-K.</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 Schedules have been omitted because they are not required, not applicable, or the required information is included in the Consolidated Financial Statements or Notes thereto.</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in the Exhibit Index below are filed or incorporated by reference as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0"/>
        <w:gridCol w:w="264"/>
        <w:gridCol w:w="265"/>
        <w:gridCol w:w="1920"/>
        <w:gridCol w:w="1674"/>
        <w:gridCol w:w="1680"/>
        <w:gridCol w:w="208"/>
        <w:gridCol w:w="208"/>
        <w:gridCol w:w="205"/>
        <w:gridCol w:w="338"/>
        <w:gridCol w:w="256"/>
        <w:gridCol w:w="222"/>
        <w:gridCol w:w="210"/>
        <w:gridCol w:w="210"/>
        <w:gridCol w:w="211"/>
        <w:gridCol w:w="369"/>
        <w:gridCol w:w="369"/>
        <w:gridCol w:w="374"/>
        <w:gridCol w:w="267"/>
        <w:gridCol w:w="267"/>
        <w:gridCol w:w="388"/>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Agreement and Plan of Merger, dated as of November 16, 2021, by and among nCino, Inc., Penny HoldCo, Inc., Dollar Merger Sub, Inc., Penny Merger Sub, LLC, SimpleNexus, LLC, Insight Venture Partners, LLC, and the other parties thereto</w:t>
              </w:r>
            </w:hyperlink>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2021</w:t>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Common Stock Certificate</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First Amended and Restated Investors’ Rights Agreement, dated February 12, 2015, as amended,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First Amendment to First Amended and Restated Investors’ Rights Agreement, dated May 25, 2016,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Second Amendment to First Amended and Restated Investors’ Rights Agreement, dated November 23, 2016,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Third Amendment to First Amended and Restated Investors’ Rights Agreement, dated July 31, 2017,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Fourth Amendment to First Amended and Restated Investors’ Rights Agreement, dated January 16, 2018,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Fifth Amendment to First Amended and Restated Investors’ Rights Agreement, dated July 12, 2018, among nCino, Inc. and certain holders of its capital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4"/>
        <w:gridCol w:w="260"/>
        <w:gridCol w:w="261"/>
        <w:gridCol w:w="1989"/>
        <w:gridCol w:w="1725"/>
        <w:gridCol w:w="1669"/>
        <w:gridCol w:w="206"/>
        <w:gridCol w:w="206"/>
        <w:gridCol w:w="204"/>
        <w:gridCol w:w="336"/>
        <w:gridCol w:w="235"/>
        <w:gridCol w:w="236"/>
        <w:gridCol w:w="210"/>
        <w:gridCol w:w="210"/>
        <w:gridCol w:w="211"/>
        <w:gridCol w:w="503"/>
        <w:gridCol w:w="295"/>
        <w:gridCol w:w="244"/>
        <w:gridCol w:w="264"/>
        <w:gridCol w:w="264"/>
        <w:gridCol w:w="383"/>
      </w:tblGrid>
      <w:tr>
        <w:trPr/>
        <w:tc>
          <w:tcPr>
            <w:tcW w:w="2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Sixth Amendment to First Amended and Restated Investors’ Rights Agreement, dated September 16, 2019, among nCino, Inc. and certain holders of its capital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Seventh Amendment to First Amended and Restated Investors’ Rights Agreement, dated September 30, 2019, among nCino, Inc. and certain holders of its capital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Assignment and Assumption Agreement, dated January 7, 2022, by and among nCino, Inc. and nCino OpCo, Inc., with respect to the First Amended and Restated Investors’ Rights Agreement, dated as of February 12, 2015, by and among nCino, Inc. and certain Investors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Description of Capital Stock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nCino, Inc. 2014 Omnibus Stock Ownership and Long Term Incentive Plan and related form agreements.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nCino, Inc. 2019 Amended and Restated Equity Incentive Plan and related form agreements.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nCino, Inc. Employee Stock Purchase Plan.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Employment Agreement with Pierre Naudé.</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Amended and Restated Employment Agreement with Joshua Glover.</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Amended and Restated Employment Agreement with Gregory D. Orenstein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Employment Agreement with April Rieger</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Employment Agreement with Matthew Hansen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Indemnification Agreement entered into by and between nCino, Inc. and its directors and executive officers.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Assignment and Assumption Agreement entered into by and among nCino OpCo, Inc., nCino, Inc., and its directors and executive officers relating to each applicable Indemnification Agreement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Assignment and Assumption Agreement entered into by and among nCino OpCo, Inc., nCino, Inc., and its executive officers relating to each applicable Executive Employment Agreement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Partner Application Distribution Agreement by and between Salesforce and the Company, dated June 19, 2020, as amended.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333-239335</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Office Lease by and between nCino, Inc. and Cloud Real Estate Holdings, LLC, dated November 29, 2020.</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Amendment to Office Lease by and between Wilmington Investors LLC and nCino, Inc., dated November 25, 2020</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Agreement Regarding Exercise and Assignment of Purchase Option among nCino, Inc. and Cloud Real Estate Holdings, LLC, dated November 29, 2020</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First Amendment to Office Lease by and between nCino, Inc. and Cloud Real Estate Holdings, LLC, dated January 27, 2021</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2021</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9"/>
        <w:gridCol w:w="273"/>
        <w:gridCol w:w="274"/>
        <w:gridCol w:w="2015"/>
        <w:gridCol w:w="1685"/>
        <w:gridCol w:w="1691"/>
        <w:gridCol w:w="171"/>
        <w:gridCol w:w="171"/>
        <w:gridCol w:w="169"/>
        <w:gridCol w:w="254"/>
        <w:gridCol w:w="254"/>
        <w:gridCol w:w="221"/>
        <w:gridCol w:w="210"/>
        <w:gridCol w:w="210"/>
        <w:gridCol w:w="211"/>
        <w:gridCol w:w="440"/>
        <w:gridCol w:w="427"/>
        <w:gridCol w:w="281"/>
        <w:gridCol w:w="273"/>
        <w:gridCol w:w="273"/>
        <w:gridCol w:w="393"/>
      </w:tblGrid>
      <w:tr>
        <w:trPr/>
        <w:tc>
          <w:tcPr>
            <w:tcW w:w="3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3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Lease by and between nCino, Inc. and Cloud Real Estate Holdings, LLC, dated April 5,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2021</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Second Amendment to Office Lease by and between nCino, Inc. and Cloud Real Estate Holdings, LLC, dated April 5, 2021</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 2021</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Restrictive Covenant Agreement, dated as of November 16, 2021, by and among nCino, Inc. and the Insight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17, 2021</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Parking Deck Rent Adjustment Notice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001-39380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2021</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Credit Agreement by and among nCino, Inc., nCino OpCo, Inc., certain subsidiaries of nCino, Inc. as guarantors and Bank of America, N.A., dated February 11, 2022</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14, 2022</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New Building Completion Notice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30, 2022</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First Amendment to Office Lease (New Building) by and between nCino, Inc. and Cloud Real Estate Holdings, LLC, dated March 20,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Third Amendment to Office Lease (Existing Building) by and between nCino, Inc. and Cloud Real Estate Holdings, LLC, dated March 20, 2023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5amendmenttopart.htm">
              <w:r>
                <w:rPr>
                  <w:rStyle w:val="InternetLink"/>
                  <w:rFonts w:ascii="Times New Roman;sans-serif" w:hAnsi="Times New Roman;sans-serif"/>
                  <w:b w:val="false"/>
                  <w:color w:val="0000FF"/>
                  <w:sz w:val="20"/>
                  <w:u w:val="single"/>
                </w:rPr>
                <w:t>Amendment to Partner Application Distribution Agreement by and between Salesforce and the Company, dated December 20, 2023</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First Amendment to Credit Agreement by and among nCino, Inc., nCino OpCo, Inc., certain subsidiaries of nCino, Inc. as guarantors and Bank of America, N.A., dated February 9,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13, 2024</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Second Amendment to Credit Agreement by and among nCino, Inc., nCino OpCo, Inc., certain subsidiaries of nCino, Inc. as guarantors and Bank of America, N.A., dated March 17,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18, 2024</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fy202410k.htm">
              <w:r>
                <w:rPr>
                  <w:rStyle w:val="InternetLink"/>
                  <w:rFonts w:ascii="Times New Roman;sans-serif" w:hAnsi="Times New Roman;sans-serif"/>
                  <w:b w:val="false"/>
                  <w:color w:val="0000FF"/>
                  <w:sz w:val="20"/>
                  <w:u w:val="single"/>
                </w:rPr>
                <w:t>List of subsidiaries of nCino, Inc.</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02410k.htm">
              <w:r>
                <w:rPr>
                  <w:rStyle w:val="InternetLink"/>
                  <w:rFonts w:ascii="Times New Roman;sans-serif" w:hAnsi="Times New Roman;sans-serif"/>
                  <w:b w:val="false"/>
                  <w:color w:val="0000FF"/>
                  <w:sz w:val="20"/>
                  <w:u w:val="single"/>
                </w:rPr>
                <w:t>Consent of Ernst &amp; Young LLP,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fy202410k.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fy202410k.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fy202410k.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fy202410k.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ncinocompensatio.htm">
              <w:r>
                <w:rPr>
                  <w:rStyle w:val="InternetLink"/>
                  <w:rFonts w:ascii="Times New Roman;sans-serif" w:hAnsi="Times New Roman;sans-serif"/>
                  <w:b w:val="false"/>
                  <w:color w:val="0000FF"/>
                  <w:sz w:val="20"/>
                  <w:u w:val="single"/>
                </w:rPr>
                <w:t>nCino, Inc. Policy on Recoupment of Incentive Compensation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7"/>
        <w:gridCol w:w="271"/>
        <w:gridCol w:w="272"/>
        <w:gridCol w:w="1692"/>
        <w:gridCol w:w="1558"/>
        <w:gridCol w:w="1562"/>
        <w:gridCol w:w="230"/>
        <w:gridCol w:w="230"/>
        <w:gridCol w:w="229"/>
        <w:gridCol w:w="254"/>
        <w:gridCol w:w="217"/>
        <w:gridCol w:w="217"/>
        <w:gridCol w:w="283"/>
        <w:gridCol w:w="283"/>
        <w:gridCol w:w="284"/>
        <w:gridCol w:w="314"/>
        <w:gridCol w:w="314"/>
        <w:gridCol w:w="316"/>
        <w:gridCol w:w="398"/>
        <w:gridCol w:w="398"/>
        <w:gridCol w:w="576"/>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4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6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Extension Definition</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to this agreement have been omitted pursuant to Items 601(a)(5) of Regulation S-K, and the Company agrees to furnish supplementally to the Securities and Exchange Commission a copy of any omitted schedule and/or exhibit upon request.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5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this exhibit have been redacted in accordance with Item 601(b)(10)(iv) of Regulation S-K.</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and 32.2 hereto are deemed to accompany this Annual Report on Form 10-K and will not be deemed "filed" for purpose of Section 18 of the Securities Exchange Act of 1934, as amended, except to the extent that the registrant specifically incorporates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f44b30077e247328f6ccf875aa3557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tbl>
      <w:tblPr>
        <w:tblW w:w="5887"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113"/>
        <w:gridCol w:w="113"/>
        <w:gridCol w:w="113"/>
        <w:gridCol w:w="953"/>
        <w:gridCol w:w="953"/>
        <w:gridCol w:w="1349"/>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nCino,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Pierre Naudé</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Pierre Naudé</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7372"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1065"/>
        <w:gridCol w:w="1065"/>
        <w:gridCol w:w="1079"/>
        <w:gridCol w:w="109"/>
        <w:gridCol w:w="109"/>
        <w:gridCol w:w="109"/>
        <w:gridCol w:w="419"/>
        <w:gridCol w:w="419"/>
        <w:gridCol w:w="601"/>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Pierre Naudé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Pierre Naudé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Jeanette Sellers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of Accounting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Jeanette Sellers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/s/Steven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Collins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 Doyle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Horing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Horing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Pam Kilday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Pam Kilday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Spencer 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Spencer Lake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Ruh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Ruh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Spruill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26,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William Spruill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10.25</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 Portions of this exhibit have been redacted in accordance with Item 601(b)(10) of Regulation S-K. The information is not material and would cause competitive harm to the registrant if publicly disclosed. “[***]” indicates that information has been redacted.</w:t>
      </w:r>
    </w:p>
    <w:p>
      <w:pPr>
        <w:pStyle w:val="TextBody"/>
        <w:bidi w:val="0"/>
        <w:spacing w:before="0" w:after="0"/>
        <w:jc w:val="center"/>
        <w:rPr/>
      </w:pPr>
      <w:r>
        <w:rPr/>
        <w:drawing>
          <wp:inline distT="0" distB="0" distL="0" distR="0">
            <wp:extent cx="2286000" cy="1285875"/>
            <wp:effectExtent l="0" t="0" r="0" b="0"/>
            <wp:docPr id="10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 descr=""/>
                    <pic:cNvPicPr>
                      <a:picLocks noChangeAspect="1" noChangeArrowheads="1"/>
                    </pic:cNvPicPr>
                  </pic:nvPicPr>
                  <pic:blipFill>
                    <a:blip r:embed="rId44"/>
                    <a:stretch>
                      <a:fillRect/>
                    </a:stretch>
                  </pic:blipFill>
                  <pic:spPr bwMode="auto">
                    <a:xfrm>
                      <a:off x="0" y="0"/>
                      <a:ext cx="2286000" cy="1285875"/>
                    </a:xfrm>
                    <a:prstGeom prst="rect">
                      <a:avLst/>
                    </a:prstGeom>
                  </pic:spPr>
                </pic:pic>
              </a:graphicData>
            </a:graphic>
          </wp:inline>
        </w:drawing>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AMENDMENT 8</w:t>
      </w:r>
    </w:p>
    <w:p>
      <w:pPr>
        <w:pStyle w:val="TextBody"/>
        <w:bidi w:val="0"/>
        <w:spacing w:lineRule="auto" w:line="240" w:before="59" w:after="283"/>
        <w:jc w:val="center"/>
        <w:rPr>
          <w:rFonts w:ascii="Arial;sans-serif" w:hAnsi="Arial;sans-serif"/>
          <w:b/>
          <w:color w:val="000000"/>
          <w:sz w:val="22"/>
          <w:u w:val="single"/>
        </w:rPr>
      </w:pPr>
      <w:r>
        <w:rPr>
          <w:rFonts w:ascii="Arial;sans-serif" w:hAnsi="Arial;sans-serif"/>
          <w:b/>
          <w:color w:val="000000"/>
          <w:sz w:val="22"/>
          <w:u w:val="single"/>
        </w:rPr>
        <w:t>[form version 2021-11-22]</w:t>
      </w:r>
    </w:p>
    <w:p>
      <w:pPr>
        <w:pStyle w:val="TextBody"/>
        <w:bidi w:val="0"/>
        <w:spacing w:before="68" w:after="283"/>
        <w:jc w:val="left"/>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SIGNATURE PAGE</w:t>
      </w:r>
    </w:p>
    <w:p>
      <w:pPr>
        <w:pStyle w:val="TextBody"/>
        <w:bidi w:val="0"/>
        <w:spacing w:before="23" w:after="283"/>
        <w:jc w:val="left"/>
        <w:rPr/>
      </w:pPr>
      <w:r>
        <w:rPr/>
      </w:r>
    </w:p>
    <w:tbl>
      <w:tblPr>
        <w:tblW w:w="9584" w:type="dxa"/>
        <w:jc w:val="left"/>
        <w:tblInd w:w="0" w:type="dxa"/>
        <w:tblLayout w:type="fixed"/>
        <w:tblCellMar>
          <w:top w:w="28" w:type="dxa"/>
          <w:left w:w="28" w:type="dxa"/>
          <w:bottom w:w="28" w:type="dxa"/>
          <w:right w:w="28" w:type="dxa"/>
        </w:tblCellMar>
      </w:tblPr>
      <w:tblGrid>
        <w:gridCol w:w="1059"/>
        <w:gridCol w:w="931"/>
        <w:gridCol w:w="935"/>
        <w:gridCol w:w="1951"/>
        <w:gridCol w:w="1951"/>
        <w:gridCol w:w="2757"/>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Agreement Name and Date</w:t>
            </w:r>
          </w:p>
        </w:tc>
        <w:tc>
          <w:tcPr>
            <w:tcW w:w="6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ind w:left="0" w:right="0" w:hanging="18"/>
              <w:jc w:val="left"/>
              <w:rPr>
                <w:rFonts w:ascii="Arial;sans-serif" w:hAnsi="Arial;sans-serif"/>
                <w:b w:val="false"/>
                <w:color w:val="000000"/>
                <w:sz w:val="22"/>
              </w:rPr>
            </w:pPr>
            <w:r>
              <w:rPr>
                <w:rFonts w:ascii="Arial;sans-serif" w:hAnsi="Arial;sans-serif"/>
                <w:b w:val="false"/>
                <w:color w:val="000000"/>
                <w:sz w:val="22"/>
              </w:rPr>
              <w:t>Partner Application Distribution Agreement, effective June 19, 2020</w:t>
            </w:r>
          </w:p>
          <w:p>
            <w:pPr>
              <w:pStyle w:val="TableContents"/>
              <w:bidi w:val="0"/>
              <w:spacing w:lineRule="auto" w:line="288" w:before="0" w:after="0"/>
              <w:jc w:val="left"/>
              <w:rPr/>
            </w:pPr>
            <w:r>
              <w:rPr>
                <w:rFonts w:ascii="Arial;sans-serif" w:hAnsi="Arial;sans-serif"/>
                <w:b w:val="false"/>
                <w:color w:val="000000"/>
                <w:sz w:val="22"/>
              </w:rPr>
              <w:t>(together with any prior amendments, the “</w:t>
            </w:r>
            <w:r>
              <w:rPr>
                <w:rFonts w:ascii="Arial;sans-serif" w:hAnsi="Arial;sans-serif"/>
                <w:b/>
                <w:color w:val="000000"/>
                <w:sz w:val="22"/>
              </w:rPr>
              <w:t>Agreement</w:t>
            </w:r>
            <w:r>
              <w:rPr>
                <w:color w:val="000000"/>
              </w:rPr>
              <w:t>”</w:t>
            </w:r>
            <w:r>
              <w:rPr>
                <w:rFonts w:ascii="Arial;sans-serif" w:hAnsi="Arial;sans-serif"/>
                <w:b w:val="false"/>
                <w:color w:val="000000"/>
                <w:sz w:val="22"/>
              </w:rPr>
              <w:t>)</w:t>
            </w:r>
          </w:p>
        </w:tc>
      </w:tr>
      <w:tr>
        <w:trPr/>
        <w:tc>
          <w:tcPr>
            <w:tcW w:w="29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86" w:after="283"/>
              <w:jc w:val="left"/>
              <w:rPr>
                <w:rFonts w:ascii="Arial;sans-serif" w:hAnsi="Arial;sans-serif"/>
                <w:b/>
                <w:color w:val="000000"/>
                <w:sz w:val="22"/>
              </w:rPr>
            </w:pPr>
            <w:r>
              <w:rPr>
                <w:rFonts w:ascii="Arial;sans-serif" w:hAnsi="Arial;sans-serif"/>
                <w:b/>
                <w:color w:val="000000"/>
                <w:sz w:val="22"/>
              </w:rPr>
              <w:t>Salesforce Entity Name</w:t>
            </w:r>
          </w:p>
        </w:tc>
        <w:tc>
          <w:tcPr>
            <w:tcW w:w="6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Salesforce, Inc.</w:t>
            </w:r>
          </w:p>
          <w:p>
            <w:pPr>
              <w:pStyle w:val="TableContents"/>
              <w:bidi w:val="0"/>
              <w:spacing w:lineRule="auto" w:line="288" w:before="0" w:after="0"/>
              <w:jc w:val="left"/>
              <w:rPr/>
            </w:pPr>
            <w:r>
              <w:rPr>
                <w:rFonts w:ascii="Arial;sans-serif" w:hAnsi="Arial;sans-serif"/>
                <w:b w:val="false"/>
                <w:color w:val="000000"/>
                <w:sz w:val="22"/>
              </w:rPr>
              <w:t>(“</w:t>
            </w:r>
            <w:r>
              <w:rPr>
                <w:rFonts w:ascii="Arial;sans-serif" w:hAnsi="Arial;sans-serif"/>
                <w:b/>
                <w:color w:val="000000"/>
                <w:sz w:val="22"/>
              </w:rPr>
              <w:t>SFDC</w:t>
            </w:r>
            <w:r>
              <w:rPr>
                <w:color w:val="000000"/>
              </w:rPr>
              <w:t xml:space="preserve">” </w:t>
            </w:r>
            <w:r>
              <w:rPr>
                <w:rFonts w:ascii="Arial;sans-serif" w:hAnsi="Arial;sans-serif"/>
                <w:b w:val="false"/>
                <w:color w:val="000000"/>
                <w:sz w:val="22"/>
              </w:rPr>
              <w:t>or “</w:t>
            </w:r>
            <w:r>
              <w:rPr>
                <w:rFonts w:ascii="Arial;sans-serif" w:hAnsi="Arial;sans-serif"/>
                <w:b/>
                <w:color w:val="000000"/>
                <w:sz w:val="22"/>
              </w:rPr>
              <w:t>Salesforce</w:t>
            </w:r>
            <w:r>
              <w:rPr>
                <w:color w:val="000000"/>
              </w:rPr>
              <w:t>”</w:t>
            </w:r>
            <w:r>
              <w:rPr>
                <w:rFonts w:ascii="Arial;sans-serif" w:hAnsi="Arial;sans-serif"/>
                <w:b w:val="false"/>
                <w:color w:val="000000"/>
                <w:sz w:val="22"/>
              </w:rPr>
              <w:t>)</w:t>
            </w:r>
          </w:p>
        </w:tc>
      </w:tr>
      <w:tr>
        <w:trPr/>
        <w:tc>
          <w:tcPr>
            <w:tcW w:w="29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Salesforce Address</w:t>
            </w:r>
          </w:p>
        </w:tc>
        <w:tc>
          <w:tcPr>
            <w:tcW w:w="6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Salesforce Tower</w:t>
            </w:r>
          </w:p>
          <w:p>
            <w:pPr>
              <w:pStyle w:val="TableContents"/>
              <w:bidi w:val="0"/>
              <w:spacing w:lineRule="auto" w:line="288" w:before="0" w:after="0"/>
              <w:jc w:val="left"/>
              <w:rPr/>
            </w:pPr>
            <w:r>
              <w:rPr>
                <w:rFonts w:ascii="Arial;sans-serif" w:hAnsi="Arial;sans-serif"/>
                <w:b w:val="false"/>
                <w:color w:val="000000"/>
                <w:sz w:val="22"/>
              </w:rPr>
              <w:t>415 Mission Street, 3</w:t>
            </w:r>
            <w:r>
              <w:rPr>
                <w:rFonts w:ascii="Arial;sans-serif" w:hAnsi="Arial;sans-serif"/>
                <w:b w:val="false"/>
                <w:color w:val="000000"/>
                <w:sz w:val="14"/>
              </w:rPr>
              <w:t xml:space="preserve">rd </w:t>
            </w:r>
            <w:r>
              <w:rPr>
                <w:rFonts w:ascii="Arial;sans-serif" w:hAnsi="Arial;sans-serif"/>
                <w:b w:val="false"/>
                <w:color w:val="000000"/>
                <w:sz w:val="22"/>
              </w:rPr>
              <w:t xml:space="preserve">Floor </w:t>
            </w:r>
          </w:p>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San Francisco, CA 94105</w:t>
            </w:r>
          </w:p>
        </w:tc>
      </w:tr>
      <w:tr>
        <w:trPr/>
        <w:tc>
          <w:tcPr>
            <w:tcW w:w="29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86" w:after="283"/>
              <w:jc w:val="left"/>
              <w:rPr>
                <w:rFonts w:ascii="Arial;sans-serif" w:hAnsi="Arial;sans-serif"/>
                <w:b/>
                <w:color w:val="000000"/>
                <w:sz w:val="22"/>
              </w:rPr>
            </w:pPr>
            <w:r>
              <w:rPr>
                <w:rFonts w:ascii="Arial;sans-serif" w:hAnsi="Arial;sans-serif"/>
                <w:b/>
                <w:color w:val="000000"/>
                <w:sz w:val="22"/>
              </w:rPr>
              <w:t>Partner Full Legal Name</w:t>
            </w:r>
          </w:p>
        </w:tc>
        <w:tc>
          <w:tcPr>
            <w:tcW w:w="6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nCino OpCo, Inc. (f/k/a nCino, LLC) </w:t>
            </w:r>
          </w:p>
          <w:p>
            <w:pPr>
              <w:pStyle w:val="TableContents"/>
              <w:bidi w:val="0"/>
              <w:spacing w:lineRule="auto" w:line="288" w:before="0" w:after="0"/>
              <w:jc w:val="left"/>
              <w:rPr/>
            </w:pPr>
            <w:r>
              <w:rPr>
                <w:rFonts w:ascii="Arial;sans-serif" w:hAnsi="Arial;sans-serif"/>
                <w:b w:val="false"/>
                <w:color w:val="000000"/>
                <w:sz w:val="22"/>
              </w:rPr>
              <w:t>(“</w:t>
            </w:r>
            <w:r>
              <w:rPr>
                <w:rFonts w:ascii="Arial;sans-serif" w:hAnsi="Arial;sans-serif"/>
                <w:b/>
                <w:color w:val="000000"/>
                <w:sz w:val="22"/>
              </w:rPr>
              <w:t>Partner</w:t>
            </w:r>
            <w:r>
              <w:rPr>
                <w:color w:val="000000"/>
              </w:rPr>
              <w:t>”</w:t>
            </w:r>
            <w:r>
              <w:rPr>
                <w:rFonts w:ascii="Arial;sans-serif" w:hAnsi="Arial;sans-serif"/>
                <w:b w:val="false"/>
                <w:color w:val="000000"/>
                <w:sz w:val="22"/>
              </w:rPr>
              <w:t>)</w:t>
            </w:r>
          </w:p>
        </w:tc>
      </w:tr>
      <w:tr>
        <w:trPr/>
        <w:tc>
          <w:tcPr>
            <w:tcW w:w="29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Partner Address</w:t>
            </w:r>
          </w:p>
        </w:tc>
        <w:tc>
          <w:tcPr>
            <w:tcW w:w="6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6770 PARKER FARM DR </w:t>
            </w:r>
          </w:p>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WILMINGTON, NC 28405</w:t>
            </w:r>
          </w:p>
        </w:tc>
      </w:tr>
    </w:tbl>
    <w:p>
      <w:pPr>
        <w:pStyle w:val="TextBody"/>
        <w:bidi w:val="0"/>
        <w:spacing w:lineRule="auto" w:line="264" w:before="251" w:after="283"/>
        <w:jc w:val="both"/>
        <w:rPr/>
      </w:pPr>
      <w:r>
        <w:rPr>
          <w:rFonts w:ascii="Arial;sans-serif" w:hAnsi="Arial;sans-serif"/>
          <w:b w:val="false"/>
          <w:color w:val="000000"/>
          <w:sz w:val="22"/>
        </w:rPr>
        <w:t>By signing where indicated below, SFDC and Partner have agreed to amend the Agreement by way of this Amendment (“</w:t>
      </w:r>
      <w:r>
        <w:rPr>
          <w:rFonts w:ascii="Arial;sans-serif" w:hAnsi="Arial;sans-serif"/>
          <w:b/>
          <w:color w:val="000000"/>
          <w:sz w:val="22"/>
        </w:rPr>
        <w:t>Amendment</w:t>
      </w:r>
      <w:r>
        <w:rPr>
          <w:color w:val="000000"/>
        </w:rPr>
        <w:t>”</w:t>
      </w:r>
      <w:r>
        <w:rPr>
          <w:rFonts w:ascii="Arial;sans-serif" w:hAnsi="Arial;sans-serif"/>
          <w:b w:val="false"/>
          <w:color w:val="000000"/>
          <w:sz w:val="22"/>
        </w:rPr>
        <w:t>). SFDC and Partner are each a “</w:t>
      </w:r>
      <w:r>
        <w:rPr>
          <w:rFonts w:ascii="Arial;sans-serif" w:hAnsi="Arial;sans-serif"/>
          <w:b/>
          <w:color w:val="000000"/>
          <w:sz w:val="22"/>
        </w:rPr>
        <w:t>Party</w:t>
      </w:r>
      <w:r>
        <w:rPr>
          <w:color w:val="000000"/>
        </w:rPr>
        <w:t xml:space="preserve">” </w:t>
      </w:r>
      <w:r>
        <w:rPr>
          <w:rFonts w:ascii="Arial;sans-serif" w:hAnsi="Arial;sans-serif"/>
          <w:b w:val="false"/>
          <w:color w:val="000000"/>
          <w:sz w:val="22"/>
        </w:rPr>
        <w:t>and collectively the “</w:t>
      </w:r>
      <w:r>
        <w:rPr>
          <w:rFonts w:ascii="Arial;sans-serif" w:hAnsi="Arial;sans-serif"/>
          <w:b/>
          <w:color w:val="000000"/>
          <w:sz w:val="22"/>
        </w:rPr>
        <w:t>Parties</w:t>
      </w:r>
      <w:r>
        <w:rPr>
          <w:color w:val="000000"/>
        </w:rPr>
        <w:t xml:space="preserve">” </w:t>
      </w:r>
      <w:r>
        <w:rPr>
          <w:rFonts w:ascii="Arial;sans-serif" w:hAnsi="Arial;sans-serif"/>
          <w:b w:val="false"/>
          <w:color w:val="000000"/>
          <w:sz w:val="22"/>
        </w:rPr>
        <w:t>to the Agreement and this Amendment. This Amendment is effective as of the later of the dates beneath the Parties’ signatures below (“</w:t>
      </w:r>
      <w:r>
        <w:rPr>
          <w:rFonts w:ascii="Arial;sans-serif" w:hAnsi="Arial;sans-serif"/>
          <w:b/>
          <w:color w:val="000000"/>
          <w:sz w:val="22"/>
        </w:rPr>
        <w:t>Amendment Effective Date</w:t>
      </w:r>
      <w:r>
        <w:rPr>
          <w:color w:val="000000"/>
        </w:rPr>
        <w:t>”</w:t>
      </w:r>
      <w:r>
        <w:rPr>
          <w:rFonts w:ascii="Arial;sans-serif" w:hAnsi="Arial;sans-serif"/>
          <w:b w:val="false"/>
          <w:color w:val="000000"/>
          <w:sz w:val="22"/>
        </w:rPr>
        <w:t>), provided, however, that if the dates of the signatures are separated by a period of time greater than 30 days, then this Amendment will be null and void. Capitalized terms not defined herein shall have the meanings given to them in the Agreement.</w:t>
      </w:r>
    </w:p>
    <w:p>
      <w:pPr>
        <w:pStyle w:val="TextBody"/>
        <w:bidi w:val="0"/>
        <w:spacing w:before="105" w:after="283"/>
        <w:jc w:val="left"/>
        <w:rPr/>
      </w:pPr>
      <w:r>
        <w:rPr/>
      </w:r>
    </w:p>
    <w:p>
      <w:pPr>
        <w:pStyle w:val="TextBody"/>
        <w:bidi w:val="0"/>
        <w:spacing w:lineRule="auto" w:line="264" w:before="0" w:after="0"/>
        <w:jc w:val="both"/>
        <w:rPr>
          <w:rFonts w:ascii="Arial;sans-serif" w:hAnsi="Arial;sans-serif"/>
          <w:b w:val="false"/>
          <w:color w:val="000000"/>
          <w:sz w:val="22"/>
        </w:rPr>
      </w:pPr>
      <w:r>
        <w:rPr>
          <w:rFonts w:ascii="Arial;sans-serif" w:hAnsi="Arial;sans-serif"/>
          <w:b w:val="false"/>
          <w:color w:val="000000"/>
          <w:sz w:val="22"/>
        </w:rPr>
        <w:t>The Parties, by their respective authorized signatories, have duly executed this Amendment as of the Amendment Effective Date.</w:t>
      </w:r>
    </w:p>
    <w:tbl>
      <w:tblPr>
        <w:tblW w:w="10205" w:type="dxa"/>
        <w:jc w:val="left"/>
        <w:tblInd w:w="0" w:type="dxa"/>
        <w:tblLayout w:type="fixed"/>
        <w:tblCellMar>
          <w:top w:w="28" w:type="dxa"/>
          <w:left w:w="28" w:type="dxa"/>
          <w:bottom w:w="28" w:type="dxa"/>
          <w:right w:w="28" w:type="dxa"/>
        </w:tblCellMar>
      </w:tblPr>
      <w:tblGrid>
        <w:gridCol w:w="957"/>
        <w:gridCol w:w="829"/>
        <w:gridCol w:w="845"/>
        <w:gridCol w:w="472"/>
        <w:gridCol w:w="472"/>
        <w:gridCol w:w="489"/>
        <w:gridCol w:w="412"/>
        <w:gridCol w:w="399"/>
        <w:gridCol w:w="405"/>
        <w:gridCol w:w="109"/>
        <w:gridCol w:w="109"/>
        <w:gridCol w:w="109"/>
        <w:gridCol w:w="878"/>
        <w:gridCol w:w="866"/>
        <w:gridCol w:w="871"/>
        <w:gridCol w:w="434"/>
        <w:gridCol w:w="413"/>
        <w:gridCol w:w="421"/>
        <w:gridCol w:w="206"/>
        <w:gridCol w:w="206"/>
        <w:gridCol w:w="303"/>
      </w:tblGrid>
      <w:tr>
        <w:trPr/>
        <w:tc>
          <w:tcPr>
            <w:tcW w:w="9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0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SFDC</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PARTNER</w:t>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By:</w:t>
            </w:r>
          </w:p>
        </w:tc>
        <w:tc>
          <w:tcPr>
            <w:tcW w:w="264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Evan Danner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By:</w:t>
            </w:r>
          </w:p>
        </w:tc>
        <w:tc>
          <w:tcPr>
            <w:tcW w:w="19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Pierre Naude</w:t>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Print Name:</w:t>
            </w:r>
          </w:p>
        </w:tc>
        <w:tc>
          <w:tcPr>
            <w:tcW w:w="264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Evan Danner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Print Name:</w:t>
            </w:r>
          </w:p>
        </w:tc>
        <w:tc>
          <w:tcPr>
            <w:tcW w:w="19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Pierre Naude</w:t>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Title:</w:t>
            </w:r>
          </w:p>
        </w:tc>
        <w:tc>
          <w:tcPr>
            <w:tcW w:w="264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Manager, Order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Title:</w:t>
            </w:r>
          </w:p>
        </w:tc>
        <w:tc>
          <w:tcPr>
            <w:tcW w:w="198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Chairman &amp; CEO</w:t>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Date (based on Pacific time):</w:t>
            </w:r>
          </w:p>
        </w:tc>
        <w:tc>
          <w:tcPr>
            <w:tcW w:w="26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20,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Date (based on Pacific time):</w:t>
            </w:r>
          </w:p>
        </w:tc>
        <w:tc>
          <w:tcPr>
            <w:tcW w:w="19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20, 2023</w:t>
            </w:r>
          </w:p>
        </w:tc>
      </w:tr>
    </w:tbl>
    <w:p>
      <w:pPr>
        <w:pStyle w:val="TextBody"/>
        <w:bidi w:val="0"/>
        <w:spacing w:lineRule="auto" w:line="240" w:before="240" w:after="283"/>
        <w:jc w:val="left"/>
        <w:rPr>
          <w:rFonts w:ascii="Arial;sans-serif" w:hAnsi="Arial;sans-serif"/>
          <w:b w:val="false"/>
          <w:color w:val="000000"/>
          <w:sz w:val="22"/>
        </w:rPr>
      </w:pPr>
      <w:r>
        <w:rPr>
          <w:rFonts w:ascii="Arial;sans-serif" w:hAnsi="Arial;sans-serif"/>
          <w:b w:val="false"/>
          <w:color w:val="000000"/>
          <w:sz w:val="22"/>
        </w:rPr>
        <w:t>This Amendment consists of this Signature Page and the following Recitals and Amendment Terms &amp; Conditions.</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18"/>
                              </w:rPr>
                              <w:t>Page 1 of 4            </w:t>
                            </w:r>
                            <w:r>
                              <w:rPr>
                                <w:rFonts w:ascii="Times New Roman;sans-serif" w:hAnsi="Times New Roman;sans-serif"/>
                                <w:b/>
                                <w:i/>
                                <w:color w:val="000000"/>
                                <w:sz w:val="20"/>
                              </w:rPr>
                              <w:t>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18"/>
                        </w:rPr>
                        <w:t>Page 1 of 4            </w:t>
                      </w:r>
                      <w:r>
                        <w:rPr>
                          <w:rFonts w:ascii="Times New Roman;sans-serif" w:hAnsi="Times New Roman;sans-serif"/>
                          <w:b/>
                          <w:i/>
                          <w:color w:val="000000"/>
                          <w:sz w:val="20"/>
                        </w:rPr>
                        <w:t>CONFIDENTIAL</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Recitals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WHEREAS, SFDC and Partner desire to amend certain terms of the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WHEREAS, other than as expressly modified in this Amendment, the Parties desire for the terms of the Agreement to remain unchanged and continue in full force and effect.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NOW, THEREFORE, in consideration of the mutual promises set forth herein and in the Agreement, and for other good and valuable consideration the receipt and sufficiency of which is hereby acknowledged, the Parties hereby agree as follows: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Terms &amp; Conditions</w:t>
      </w:r>
    </w:p>
    <w:p>
      <w:pPr>
        <w:pStyle w:val="TextBody"/>
        <w:bidi w:val="0"/>
        <w:spacing w:before="0" w:after="0"/>
        <w:jc w:val="left"/>
        <w:rPr/>
      </w:pPr>
      <w:r>
        <w:rPr/>
      </w:r>
    </w:p>
    <w:p>
      <w:pPr>
        <w:pStyle w:val="TextBody"/>
        <w:bidi w:val="0"/>
        <w:spacing w:lineRule="auto" w:line="288" w:before="0" w:after="0"/>
        <w:ind w:left="0" w:right="0" w:hanging="719"/>
        <w:jc w:val="left"/>
        <w:rPr>
          <w:rFonts w:ascii="Arial;sans-serif" w:hAnsi="Arial;sans-serif"/>
          <w:b/>
          <w:color w:val="000000"/>
          <w:sz w:val="22"/>
        </w:rPr>
      </w:pPr>
      <w:r>
        <w:rPr>
          <w:rFonts w:ascii="Arial;sans-serif" w:hAnsi="Arial;sans-serif"/>
          <w:b/>
          <w:color w:val="000000"/>
          <w:sz w:val="22"/>
        </w:rPr>
        <w:t>I.Partner Application Distribution Agreement</w:t>
      </w:r>
    </w:p>
    <w:p>
      <w:pPr>
        <w:pStyle w:val="TextBody"/>
        <w:bidi w:val="0"/>
        <w:spacing w:before="0" w:after="0"/>
        <w:jc w:val="left"/>
        <w:rPr/>
      </w:pPr>
      <w:r>
        <w:rPr/>
      </w:r>
    </w:p>
    <w:p>
      <w:pPr>
        <w:pStyle w:val="TextBody"/>
        <w:bidi w:val="0"/>
        <w:spacing w:lineRule="auto" w:line="288" w:before="0" w:after="0"/>
        <w:ind w:left="0" w:right="0" w:hanging="359"/>
        <w:jc w:val="left"/>
        <w:rPr/>
      </w:pPr>
      <w:r>
        <w:rPr>
          <w:rFonts w:ascii="Arial;sans-serif" w:hAnsi="Arial;sans-serif"/>
          <w:b w:val="false"/>
          <w:color w:val="000000"/>
          <w:sz w:val="22"/>
        </w:rPr>
        <w:t>1.</w:t>
      </w:r>
      <w:r>
        <w:rPr>
          <w:rFonts w:ascii="Arial;sans-serif" w:hAnsi="Arial;sans-serif"/>
          <w:b w:val="false"/>
          <w:color w:val="000000"/>
          <w:sz w:val="22"/>
          <w:u w:val="single"/>
        </w:rPr>
        <w:t>Section 4.6 Suspension and Termination of Shared Org</w:t>
      </w:r>
      <w:r>
        <w:rPr>
          <w:rFonts w:ascii="Arial;sans-serif" w:hAnsi="Arial;sans-serif"/>
          <w:b w:val="false"/>
          <w:color w:val="000000"/>
          <w:sz w:val="22"/>
        </w:rPr>
        <w:t>. The following is added at the end of Section 4.6:</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In the event of Customer’s non-payment under the SFDC MSA which would give rise to suspension or termination of a Shared Org (“</w:t>
      </w:r>
      <w:r>
        <w:rPr>
          <w:rFonts w:ascii="Arial;sans-serif" w:hAnsi="Arial;sans-serif"/>
          <w:b/>
          <w:color w:val="000000"/>
          <w:sz w:val="22"/>
        </w:rPr>
        <w:t>Non-Payment Suspension</w:t>
      </w:r>
      <w:r>
        <w:rPr>
          <w:color w:val="000000"/>
        </w:rPr>
        <w:t>”</w:t>
      </w:r>
      <w:r>
        <w:rPr>
          <w:rFonts w:ascii="Arial;sans-serif" w:hAnsi="Arial;sans-serif"/>
          <w:b w:val="false"/>
          <w:color w:val="000000"/>
          <w:sz w:val="22"/>
        </w:rPr>
        <w:t>), and provided that Partner has paid all fees for the Distribution Services in such Shared Org, then SFDC shall use commercially reasonable efforts to exercise such Non-Payment Suspension in a manner that minimizes disruption to Customer’s use of the Combined Solution. Such efforts may include moving [***] which SFDC will determine in its sole discretion.”</w:t>
      </w:r>
    </w:p>
    <w:p>
      <w:pPr>
        <w:pStyle w:val="TextBody"/>
        <w:bidi w:val="0"/>
        <w:spacing w:before="0" w:after="0"/>
        <w:jc w:val="left"/>
        <w:rPr/>
      </w:pPr>
      <w:r>
        <w:rPr/>
      </w:r>
    </w:p>
    <w:p>
      <w:pPr>
        <w:pStyle w:val="TextBody"/>
        <w:bidi w:val="0"/>
        <w:spacing w:lineRule="auto" w:line="288" w:before="0" w:after="0"/>
        <w:ind w:left="0" w:right="0" w:hanging="719"/>
        <w:jc w:val="left"/>
        <w:rPr>
          <w:rFonts w:ascii="Arial;sans-serif" w:hAnsi="Arial;sans-serif"/>
          <w:b/>
          <w:color w:val="000000"/>
          <w:sz w:val="22"/>
        </w:rPr>
      </w:pPr>
      <w:r>
        <w:rPr>
          <w:rFonts w:ascii="Arial;sans-serif" w:hAnsi="Arial;sans-serif"/>
          <w:b/>
          <w:color w:val="000000"/>
          <w:sz w:val="22"/>
        </w:rPr>
        <w:t>II.OEM Addendum to Partner Application Distribution Agreement</w:t>
      </w:r>
    </w:p>
    <w:p>
      <w:pPr>
        <w:pStyle w:val="TextBody"/>
        <w:bidi w:val="0"/>
        <w:spacing w:before="0" w:after="0"/>
        <w:jc w:val="left"/>
        <w:rPr/>
      </w:pPr>
      <w:r>
        <w:rPr/>
      </w:r>
    </w:p>
    <w:p>
      <w:pPr>
        <w:pStyle w:val="TextBody"/>
        <w:bidi w:val="0"/>
        <w:spacing w:lineRule="auto" w:line="288" w:before="0" w:after="0"/>
        <w:ind w:left="0" w:right="0" w:hanging="359"/>
        <w:jc w:val="left"/>
        <w:rPr/>
      </w:pPr>
      <w:r>
        <w:rPr>
          <w:rFonts w:ascii="Arial;sans-serif" w:hAnsi="Arial;sans-serif"/>
          <w:b w:val="false"/>
          <w:color w:val="000000"/>
          <w:sz w:val="22"/>
        </w:rPr>
        <w:t>2.</w:t>
      </w:r>
      <w:r>
        <w:rPr>
          <w:rFonts w:ascii="Arial;sans-serif" w:hAnsi="Arial;sans-serif"/>
          <w:b w:val="false"/>
          <w:color w:val="000000"/>
          <w:sz w:val="22"/>
          <w:u w:val="single"/>
        </w:rPr>
        <w:t>Section 8 (Fees, Invoicing and Payment).</w:t>
      </w:r>
      <w:r>
        <w:rPr>
          <w:color w:val="000000"/>
        </w:rPr>
        <w:t xml:space="preserve"> </w:t>
      </w:r>
      <w:r>
        <w:rPr>
          <w:rFonts w:ascii="Arial;sans-serif" w:hAnsi="Arial;sans-serif"/>
          <w:b w:val="false"/>
          <w:color w:val="000000"/>
          <w:sz w:val="22"/>
        </w:rPr>
        <w:t>The following shall be added as a new Section 8.1.4:</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Arial;sans-serif" w:hAnsi="Arial;sans-serif"/>
          <w:b/>
          <w:color w:val="000000"/>
          <w:sz w:val="22"/>
        </w:rPr>
        <w:t>8.1.4 Minimum Annual Commitment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(a) Each year, for a period of four years commencing on February 1, 2024 and ending January 31, 2028 (the “</w:t>
      </w:r>
      <w:r>
        <w:rPr>
          <w:rFonts w:ascii="Arial;sans-serif" w:hAnsi="Arial;sans-serif"/>
          <w:b/>
          <w:color w:val="000000"/>
          <w:sz w:val="22"/>
        </w:rPr>
        <w:t>Minimum Revenue Commitment Term</w:t>
      </w:r>
      <w:r>
        <w:rPr>
          <w:color w:val="000000"/>
        </w:rPr>
        <w:t>”</w:t>
      </w:r>
      <w:r>
        <w:rPr>
          <w:rFonts w:ascii="Arial;sans-serif" w:hAnsi="Arial;sans-serif"/>
          <w:b w:val="false"/>
          <w:color w:val="000000"/>
          <w:sz w:val="22"/>
        </w:rPr>
        <w:t>), Partner must incur fees on an annual basis (the “</w:t>
      </w:r>
      <w:r>
        <w:rPr>
          <w:rFonts w:ascii="Arial;sans-serif" w:hAnsi="Arial;sans-serif"/>
          <w:b/>
          <w:color w:val="000000"/>
          <w:sz w:val="22"/>
        </w:rPr>
        <w:t>Minimum Annual Commitment</w:t>
      </w:r>
      <w:r>
        <w:rPr>
          <w:color w:val="000000"/>
        </w:rPr>
        <w:t>”</w:t>
      </w:r>
      <w:r>
        <w:rPr>
          <w:rFonts w:ascii="Arial;sans-serif" w:hAnsi="Arial;sans-serif"/>
          <w:b w:val="false"/>
          <w:color w:val="000000"/>
          <w:sz w:val="22"/>
        </w:rPr>
        <w:t>) as follows:</w:t>
      </w:r>
    </w:p>
    <w:p>
      <w:pPr>
        <w:pStyle w:val="TextBody"/>
        <w:bidi w:val="0"/>
        <w:spacing w:before="0" w:after="0"/>
        <w:jc w:val="left"/>
        <w:rPr/>
      </w:pPr>
      <w:r>
        <w:rPr/>
      </w:r>
    </w:p>
    <w:tbl>
      <w:tblPr>
        <w:tblW w:w="7335" w:type="dxa"/>
        <w:jc w:val="left"/>
        <w:tblInd w:w="0" w:type="dxa"/>
        <w:tblLayout w:type="fixed"/>
        <w:tblCellMar>
          <w:top w:w="28" w:type="dxa"/>
          <w:left w:w="28" w:type="dxa"/>
          <w:bottom w:w="28" w:type="dxa"/>
          <w:right w:w="28" w:type="dxa"/>
        </w:tblCellMar>
      </w:tblPr>
      <w:tblGrid>
        <w:gridCol w:w="1445"/>
        <w:gridCol w:w="1271"/>
        <w:gridCol w:w="1289"/>
        <w:gridCol w:w="974"/>
        <w:gridCol w:w="974"/>
        <w:gridCol w:w="1382"/>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Year</w:t>
            </w:r>
          </w:p>
        </w:tc>
        <w:tc>
          <w:tcPr>
            <w:tcW w:w="33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color w:val="000000"/>
                <w:sz w:val="22"/>
              </w:rPr>
            </w:pPr>
            <w:r>
              <w:rPr>
                <w:rFonts w:ascii="Arial;sans-serif" w:hAnsi="Arial;sans-serif"/>
                <w:b/>
                <w:color w:val="000000"/>
                <w:sz w:val="22"/>
              </w:rPr>
              <w:t>Minimum Annual Commitment</w:t>
            </w:r>
          </w:p>
        </w:tc>
      </w:tr>
      <w:tr>
        <w:trPr/>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1 (February 1, 2024 - January 31, 2025)</w:t>
            </w:r>
          </w:p>
        </w:tc>
        <w:tc>
          <w:tcPr>
            <w:tcW w:w="33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Arial;sans-serif" w:hAnsi="Arial;sans-serif"/>
                <w:b w:val="false"/>
                <w:color w:val="000000"/>
                <w:sz w:val="22"/>
              </w:rPr>
            </w:pPr>
            <w:r>
              <w:rPr>
                <w:rFonts w:ascii="Arial;sans-serif" w:hAnsi="Arial;sans-serif"/>
                <w:b w:val="false"/>
                <w:color w:val="000000"/>
                <w:sz w:val="22"/>
              </w:rPr>
              <w:t>$[***] million</w:t>
            </w:r>
          </w:p>
        </w:tc>
      </w:tr>
      <w:tr>
        <w:trPr/>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2 (February 1, 2025 - January 31, 2026)</w:t>
            </w:r>
          </w:p>
        </w:tc>
        <w:tc>
          <w:tcPr>
            <w:tcW w:w="33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Arial;sans-serif" w:hAnsi="Arial;sans-serif"/>
                <w:b w:val="false"/>
                <w:color w:val="000000"/>
                <w:sz w:val="22"/>
              </w:rPr>
            </w:pPr>
            <w:r>
              <w:rPr>
                <w:rFonts w:ascii="Arial;sans-serif" w:hAnsi="Arial;sans-serif"/>
                <w:b w:val="false"/>
                <w:color w:val="000000"/>
                <w:sz w:val="22"/>
              </w:rPr>
              <w:t>$[***] million</w:t>
            </w:r>
          </w:p>
        </w:tc>
      </w:tr>
      <w:tr>
        <w:trPr/>
        <w:tc>
          <w:tcPr>
            <w:tcW w:w="40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3 (February 1, 2026 - January 31, 2027)</w:t>
            </w:r>
          </w:p>
        </w:tc>
        <w:tc>
          <w:tcPr>
            <w:tcW w:w="33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Arial;sans-serif" w:hAnsi="Arial;sans-serif"/>
                <w:b w:val="false"/>
                <w:color w:val="000000"/>
                <w:sz w:val="22"/>
              </w:rPr>
            </w:pPr>
            <w:r>
              <w:rPr>
                <w:rFonts w:ascii="Arial;sans-serif" w:hAnsi="Arial;sans-serif"/>
                <w:b w:val="false"/>
                <w:color w:val="000000"/>
                <w:sz w:val="22"/>
              </w:rPr>
              <w:t>$[***] million</w:t>
            </w:r>
          </w:p>
        </w:tc>
      </w:tr>
      <w:tr>
        <w:trPr/>
        <w:tc>
          <w:tcPr>
            <w:tcW w:w="40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4 (February 1, 2027 - January 31, 2028)</w:t>
            </w:r>
          </w:p>
        </w:tc>
        <w:tc>
          <w:tcPr>
            <w:tcW w:w="333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2"/>
              </w:rPr>
            </w:pPr>
            <w:r>
              <w:rPr>
                <w:rFonts w:ascii="Arial;sans-serif" w:hAnsi="Arial;sans-serif"/>
                <w:b w:val="false"/>
                <w:color w:val="000000"/>
                <w:sz w:val="22"/>
              </w:rPr>
              <w:t>$[***] million</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0"/>
        <w:jc w:val="both"/>
        <w:rPr/>
      </w:pPr>
      <w:r>
        <w:rPr>
          <w:rFonts w:ascii="Arial;sans-serif" w:hAnsi="Arial;sans-serif"/>
          <w:b w:val="false"/>
          <w:color w:val="000000"/>
          <w:sz w:val="22"/>
        </w:rPr>
        <w:t>If at the end of each Year, Partner has failed to meet the Minimum Annual Commitment for that Year, then Partner shall pay to SFDC the difference between the Minimum Annual Commitment for that Year, and the amount of fees Partner has incurred to date for that Year (the “</w:t>
      </w:r>
      <w:r>
        <w:rPr>
          <w:rFonts w:ascii="Arial;sans-serif" w:hAnsi="Arial;sans-serif"/>
          <w:b/>
          <w:color w:val="000000"/>
          <w:sz w:val="22"/>
        </w:rPr>
        <w:t>Minimum Annual Commitment True Up</w:t>
      </w:r>
      <w:r>
        <w:rPr>
          <w:color w:val="000000"/>
        </w:rPr>
        <w:t>”</w:t>
      </w:r>
      <w:r>
        <w:rPr>
          <w:rFonts w:ascii="Arial;sans-serif" w:hAnsi="Arial;sans-serif"/>
          <w:b w:val="false"/>
          <w:color w:val="000000"/>
          <w:sz w:val="22"/>
        </w:rPr>
        <w:t xml:space="preserve">). SFDC will invoice Partner for the Minimum Annual Commitment True Up within five (5) Business Days following the Year just ended, as otherwise part of its invoice process in accordance with </w:t>
      </w:r>
      <w:r>
        <w:rPr>
          <w:rFonts w:ascii="Arial;sans-serif" w:hAnsi="Arial;sans-serif"/>
          <w:b w:val="false"/>
          <w:color w:val="000000"/>
          <w:sz w:val="22"/>
          <w:u w:val="single"/>
        </w:rPr>
        <w:t>Section 8.1.2</w:t>
      </w:r>
      <w:r>
        <w:rPr>
          <w:color w:val="000000"/>
        </w:rPr>
        <w:t xml:space="preserve"> </w:t>
      </w:r>
      <w:r>
        <w:rPr>
          <w:rFonts w:ascii="Arial;sans-serif" w:hAnsi="Arial;sans-serif"/>
          <w:b w:val="false"/>
          <w:color w:val="000000"/>
          <w:sz w:val="22"/>
        </w:rPr>
        <w:t>hereunder. For clarity, the Minimum Annual Commitment True Up shall not count towards the Minimum Annual Commitment. The Minimum Annual Commitment True Up shall be Partner’s sole liability to SFDC and SFDC’s sole remedy for such failure by Partner to meet the Minimum Annual Commitment.</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18"/>
                              </w:rPr>
                              <w:t>Page 2 of 4            </w:t>
                            </w:r>
                            <w:r>
                              <w:rPr>
                                <w:rFonts w:ascii="Times New Roman;sans-serif" w:hAnsi="Times New Roman;sans-serif"/>
                                <w:b/>
                                <w:i/>
                                <w:color w:val="000000"/>
                                <w:sz w:val="20"/>
                              </w:rPr>
                              <w:t>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18"/>
                        </w:rPr>
                        <w:t>Page 2 of 4            </w:t>
                      </w:r>
                      <w:r>
                        <w:rPr>
                          <w:rFonts w:ascii="Times New Roman;sans-serif" w:hAnsi="Times New Roman;sans-serif"/>
                          <w:b/>
                          <w:i/>
                          <w:color w:val="000000"/>
                          <w:sz w:val="20"/>
                        </w:rPr>
                        <w:t>CONFIDENTIAL</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3.</w:t>
      </w:r>
      <w:r>
        <w:rPr>
          <w:color w:val="000000"/>
          <w:u w:val="single"/>
        </w:rPr>
        <w:t xml:space="preserve"> </w:t>
      </w:r>
      <w:r>
        <w:rPr>
          <w:rFonts w:ascii="Arial;sans-serif" w:hAnsi="Arial;sans-serif"/>
          <w:b w:val="false"/>
          <w:color w:val="000000"/>
          <w:sz w:val="22"/>
          <w:u w:val="single"/>
        </w:rPr>
        <w:t>Section 11 (Term)</w:t>
      </w:r>
      <w:r>
        <w:rPr>
          <w:rFonts w:ascii="Arial;sans-serif" w:hAnsi="Arial;sans-serif"/>
          <w:b w:val="false"/>
          <w:color w:val="000000"/>
          <w:sz w:val="22"/>
        </w:rPr>
        <w:t>. Section 11.1 shall be modified by deleting the first sentence and replacing it with the following:</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The initial term of this OEM Addendum commences on the OEM Addendum Effective Date and ends on January 31, 2031 (“</w:t>
      </w:r>
      <w:r>
        <w:rPr>
          <w:rFonts w:ascii="Arial;sans-serif" w:hAnsi="Arial;sans-serif"/>
          <w:b/>
          <w:color w:val="000000"/>
          <w:sz w:val="22"/>
        </w:rPr>
        <w:t>Initial Term</w:t>
      </w:r>
      <w:r>
        <w:rPr>
          <w:color w:val="000000"/>
        </w:rPr>
        <w:t>”</w:t>
      </w:r>
      <w:r>
        <w:rPr>
          <w:rFonts w:ascii="Arial;sans-serif" w:hAnsi="Arial;sans-serif"/>
          <w:b w:val="false"/>
          <w:color w:val="000000"/>
          <w:sz w:val="22"/>
        </w:rPr>
        <w:t>), unless terminated earlier by either Party as set forth in this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4.</w:t>
      </w:r>
      <w:r>
        <w:rPr>
          <w:rFonts w:ascii="Arial;sans-serif" w:hAnsi="Arial;sans-serif"/>
          <w:b w:val="false"/>
          <w:color w:val="000000"/>
          <w:sz w:val="22"/>
          <w:u w:val="single"/>
        </w:rPr>
        <w:t>Exhibit A-1 (Product Catalog)</w:t>
      </w:r>
      <w:r>
        <w:rPr>
          <w:rFonts w:ascii="Arial;sans-serif" w:hAnsi="Arial;sans-serif"/>
          <w:b w:val="false"/>
          <w:color w:val="000000"/>
          <w:sz w:val="22"/>
        </w:rPr>
        <w:t xml:space="preserve">. As of the Amendment Effective Date, </w:t>
      </w:r>
      <w:r>
        <w:rPr>
          <w:rFonts w:ascii="Arial;sans-serif" w:hAnsi="Arial;sans-serif"/>
          <w:b w:val="false"/>
          <w:color w:val="000000"/>
          <w:sz w:val="22"/>
          <w:u w:val="single"/>
        </w:rPr>
        <w:t>Exhibit A-1</w:t>
      </w:r>
      <w:r>
        <w:rPr>
          <w:color w:val="000000"/>
        </w:rPr>
        <w:t xml:space="preserve"> </w:t>
      </w:r>
      <w:r>
        <w:rPr>
          <w:rFonts w:ascii="Arial;sans-serif" w:hAnsi="Arial;sans-serif"/>
          <w:b w:val="false"/>
          <w:color w:val="000000"/>
          <w:sz w:val="22"/>
        </w:rPr>
        <w:t>(“</w:t>
      </w:r>
      <w:r>
        <w:rPr>
          <w:rFonts w:ascii="Arial;sans-serif" w:hAnsi="Arial;sans-serif"/>
          <w:b/>
          <w:color w:val="000000"/>
          <w:sz w:val="22"/>
        </w:rPr>
        <w:t>Product Catalog</w:t>
      </w:r>
      <w:r>
        <w:rPr>
          <w:color w:val="000000"/>
        </w:rPr>
        <w:t>”</w:t>
      </w:r>
      <w:r>
        <w:rPr>
          <w:rFonts w:ascii="Arial;sans-serif" w:hAnsi="Arial;sans-serif"/>
          <w:b w:val="false"/>
          <w:color w:val="000000"/>
          <w:sz w:val="22"/>
        </w:rPr>
        <w:t xml:space="preserve">) attached hereto shall be added to the Agreement as a new </w:t>
      </w:r>
      <w:r>
        <w:rPr>
          <w:rFonts w:ascii="Arial;sans-serif" w:hAnsi="Arial;sans-serif"/>
          <w:b w:val="false"/>
          <w:color w:val="000000"/>
          <w:sz w:val="22"/>
          <w:u w:val="single"/>
        </w:rPr>
        <w:t>Exhibit A-1</w:t>
      </w:r>
      <w:r>
        <w:rPr>
          <w:rFonts w:ascii="Arial;sans-serif" w:hAnsi="Arial;sans-serif"/>
          <w:b w:val="false"/>
          <w:color w:val="000000"/>
          <w:sz w:val="22"/>
        </w:rPr>
        <w:t>. For clarity, Partner will onlybe able to place Service Orders for the OEM Services in Exhibit A-1 with a start date of February 1, 2024 or later.</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5.</w:t>
      </w:r>
      <w:r>
        <w:rPr>
          <w:rFonts w:ascii="Arial;sans-serif" w:hAnsi="Arial;sans-serif"/>
          <w:b w:val="false"/>
          <w:color w:val="000000"/>
          <w:sz w:val="22"/>
          <w:u w:val="single"/>
        </w:rPr>
        <w:t>Code Migration</w:t>
      </w:r>
      <w:r>
        <w:rPr>
          <w:rFonts w:ascii="Arial;sans-serif" w:hAnsi="Arial;sans-serif"/>
          <w:b w:val="false"/>
          <w:color w:val="000000"/>
          <w:sz w:val="22"/>
        </w:rPr>
        <w:t>. With respect to code migration, SFDC and Partner will work together in good faith to migrate any existing customers from force.com to the FSC Data model in a cost effective and efficient manner after February 1, 2024. For clarity, nothing in this Section 5 (“Code Migration”) will impact the terms of the Minimum Annual Commitment.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6.</w:t>
      </w:r>
      <w:r>
        <w:rPr>
          <w:rFonts w:ascii="Arial;sans-serif" w:hAnsi="Arial;sans-serif"/>
          <w:b w:val="false"/>
          <w:color w:val="000000"/>
          <w:sz w:val="22"/>
          <w:u w:val="single"/>
        </w:rPr>
        <w:t>Exhibit K (Go To Market Terms)</w:t>
      </w:r>
      <w:r>
        <w:rPr>
          <w:rFonts w:ascii="Arial;sans-serif" w:hAnsi="Arial;sans-serif"/>
          <w:b w:val="false"/>
          <w:color w:val="000000"/>
          <w:sz w:val="22"/>
        </w:rPr>
        <w:t xml:space="preserve">. </w:t>
      </w:r>
      <w:r>
        <w:rPr>
          <w:rFonts w:ascii="Arial;sans-serif" w:hAnsi="Arial;sans-serif"/>
          <w:b w:val="false"/>
          <w:color w:val="000000"/>
          <w:sz w:val="22"/>
          <w:u w:val="single"/>
        </w:rPr>
        <w:t>Exhibit K</w:t>
      </w:r>
      <w:r>
        <w:rPr>
          <w:color w:val="000000"/>
        </w:rPr>
        <w:t xml:space="preserve"> </w:t>
      </w:r>
      <w:r>
        <w:rPr>
          <w:rFonts w:ascii="Arial;sans-serif" w:hAnsi="Arial;sans-serif"/>
          <w:b w:val="false"/>
          <w:color w:val="000000"/>
          <w:sz w:val="22"/>
        </w:rPr>
        <w:t>(“</w:t>
      </w:r>
      <w:r>
        <w:rPr>
          <w:rFonts w:ascii="Arial;sans-serif" w:hAnsi="Arial;sans-serif"/>
          <w:b/>
          <w:color w:val="000000"/>
          <w:sz w:val="22"/>
        </w:rPr>
        <w:t>Go To Market Terms”</w:t>
      </w:r>
      <w:r>
        <w:rPr>
          <w:rFonts w:ascii="Arial;sans-serif" w:hAnsi="Arial;sans-serif"/>
          <w:b w:val="false"/>
          <w:color w:val="000000"/>
          <w:sz w:val="22"/>
        </w:rPr>
        <w:t xml:space="preserve">) attached hereto shall be added to the Agreement as a new </w:t>
      </w:r>
      <w:r>
        <w:rPr>
          <w:rFonts w:ascii="Arial;sans-serif" w:hAnsi="Arial;sans-serif"/>
          <w:b w:val="false"/>
          <w:color w:val="000000"/>
          <w:sz w:val="22"/>
          <w:u w:val="single"/>
        </w:rPr>
        <w:t>Exhibit K</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59"/>
        <w:jc w:val="both"/>
        <w:rPr/>
      </w:pPr>
      <w:r>
        <w:rPr>
          <w:rFonts w:ascii="Arial;sans-serif" w:hAnsi="Arial;sans-serif"/>
          <w:b w:val="false"/>
          <w:color w:val="000000"/>
          <w:sz w:val="22"/>
        </w:rPr>
        <w:t>7.</w:t>
      </w:r>
      <w:r>
        <w:rPr>
          <w:rFonts w:ascii="Arial;sans-serif" w:hAnsi="Arial;sans-serif"/>
          <w:b w:val="false"/>
          <w:color w:val="000000"/>
          <w:sz w:val="22"/>
          <w:u w:val="single"/>
        </w:rPr>
        <w:t>Product Commitment.</w:t>
      </w:r>
      <w:r>
        <w:rPr>
          <w:color w:val="000000"/>
        </w:rPr>
        <w:t xml:space="preserve"> </w:t>
      </w:r>
      <w:r>
        <w:rPr>
          <w:rFonts w:ascii="Arial;sans-serif" w:hAnsi="Arial;sans-serif"/>
          <w:b w:val="false"/>
          <w:color w:val="000000"/>
          <w:sz w:val="22"/>
        </w:rPr>
        <w:t>Salesforce will provide nCino [***] with access to the [***]. The Objects shall include: [***], as updated from time to time by SFDC, in accordance with the procedures set forth in the definition of “Product Catalog” in the OEM Addendum. The use of the embedded [***] is restricted to powering the Partner Application as defined in the Agreement.</w:t>
      </w:r>
    </w:p>
    <w:p>
      <w:pPr>
        <w:pStyle w:val="TextBody"/>
        <w:bidi w:val="0"/>
        <w:spacing w:before="0" w:after="0"/>
        <w:jc w:val="left"/>
        <w:rPr/>
      </w:pPr>
      <w:r>
        <w:rPr/>
      </w:r>
    </w:p>
    <w:p>
      <w:pPr>
        <w:pStyle w:val="TextBody"/>
        <w:bidi w:val="0"/>
        <w:spacing w:lineRule="auto" w:line="288" w:before="0" w:after="0"/>
        <w:ind w:left="0" w:right="0" w:hanging="359"/>
        <w:jc w:val="left"/>
        <w:rPr/>
      </w:pPr>
      <w:r>
        <w:rPr>
          <w:rFonts w:ascii="Arial;sans-serif" w:hAnsi="Arial;sans-serif"/>
          <w:b w:val="false"/>
          <w:color w:val="000000"/>
          <w:sz w:val="22"/>
        </w:rPr>
        <w:t>8.</w:t>
      </w:r>
      <w:r>
        <w:rPr>
          <w:rFonts w:ascii="Arial;sans-serif" w:hAnsi="Arial;sans-serif"/>
          <w:b w:val="false"/>
          <w:color w:val="000000"/>
          <w:sz w:val="22"/>
          <w:u w:val="single"/>
        </w:rPr>
        <w:t>Effect of Amendment</w:t>
      </w:r>
      <w:r>
        <w:rPr>
          <w:rFonts w:ascii="Arial;sans-serif" w:hAnsi="Arial;sans-serif"/>
          <w:b w:val="false"/>
          <w:color w:val="000000"/>
          <w:sz w:val="22"/>
        </w:rPr>
        <w:t>. Subject to the above modifications, the Agreement remains in full force and effect.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9.</w:t>
      </w:r>
      <w:r>
        <w:rPr>
          <w:rFonts w:ascii="Arial;sans-serif" w:hAnsi="Arial;sans-serif"/>
          <w:b w:val="false"/>
          <w:color w:val="000000"/>
          <w:sz w:val="22"/>
          <w:u w:val="single"/>
        </w:rPr>
        <w:t>Entire Agreement</w:t>
      </w:r>
      <w:r>
        <w:rPr>
          <w:rFonts w:ascii="Arial;sans-serif" w:hAnsi="Arial;sans-serif"/>
          <w:b w:val="false"/>
          <w:color w:val="000000"/>
          <w:sz w:val="22"/>
        </w:rPr>
        <w:t>. The terms and conditions herein contained constitute the entire agreement between the Parties with respect to the subject matter of this Amendment and supersede any previous and contemporaneous agreements and understandings, whether oral or written, between the Parties hereto with respect to the subject matter hereof.</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2"/>
        </w:rPr>
        <w:t>10.</w:t>
      </w:r>
      <w:r>
        <w:rPr>
          <w:rFonts w:ascii="Arial;sans-serif" w:hAnsi="Arial;sans-serif"/>
          <w:b w:val="false"/>
          <w:color w:val="000000"/>
          <w:sz w:val="22"/>
          <w:u w:val="single"/>
        </w:rPr>
        <w:t>Counterparts</w:t>
      </w:r>
      <w:r>
        <w:rPr>
          <w:rFonts w:ascii="Arial;sans-serif" w:hAnsi="Arial;sans-serif"/>
          <w:b w:val="false"/>
          <w:color w:val="000000"/>
          <w:sz w:val="22"/>
        </w:rPr>
        <w:t>. This Amendment may be executed in one or more counterparts, including facsimiles or scanned copies sent via email or otherwise, each of which will be deemed to be a duplicate original, but all of which, taken together, will be deemed to constitute a single instrument.</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(End of Amendment Terms &amp;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18"/>
                              </w:rPr>
                              <w:t>Page 3 of 4            </w:t>
                            </w:r>
                            <w:r>
                              <w:rPr>
                                <w:rFonts w:ascii="Times New Roman;sans-serif" w:hAnsi="Times New Roman;sans-serif"/>
                                <w:b/>
                                <w:i/>
                                <w:color w:val="000000"/>
                                <w:sz w:val="20"/>
                              </w:rPr>
                              <w:t>CONFIDENTIAL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18"/>
                        </w:rPr>
                        <w:t>Page 3 of 4            </w:t>
                      </w:r>
                      <w:r>
                        <w:rPr>
                          <w:rFonts w:ascii="Times New Roman;sans-serif" w:hAnsi="Times New Roman;sans-serif"/>
                          <w:b/>
                          <w:i/>
                          <w:color w:val="000000"/>
                          <w:sz w:val="20"/>
                        </w:rPr>
                        <w:t>CONFIDENTIAL</w:t>
                      </w:r>
                    </w:p>
                  </w:txbxContent>
                </v:textbox>
                <w10:wrap type="none"/>
              </v:rect>
            </w:pict>
          </mc:Fallback>
        </mc:AlternateContent>
      </w:r>
    </w:p>
    <w:p>
      <w:pPr>
        <w:pStyle w:val="TextBody"/>
        <w:bidi w:val="0"/>
        <w:spacing w:before="1" w:after="283"/>
        <w:jc w:val="left"/>
        <w:rPr/>
      </w:pPr>
      <w:r>
        <w:rPr/>
      </w:r>
    </w:p>
    <w:p>
      <w:pPr>
        <w:pStyle w:val="TextBody"/>
        <w:bidi w:val="0"/>
        <w:spacing w:lineRule="auto" w:line="240" w:before="1"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A-1 Product Catalog</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u w:val="single"/>
        </w:rPr>
      </w:pPr>
      <w:r>
        <w:rPr>
          <w:rFonts w:ascii="Arial;sans-serif" w:hAnsi="Arial;sans-serif"/>
          <w:b/>
          <w:color w:val="000000"/>
          <w:sz w:val="22"/>
          <w:u w:val="single"/>
        </w:rPr>
        <w:t>Exhibit K</w:t>
      </w:r>
    </w:p>
    <w:p>
      <w:pPr>
        <w:pStyle w:val="TextBody"/>
        <w:bidi w:val="0"/>
        <w:spacing w:lineRule="auto" w:line="240" w:before="1" w:after="283"/>
        <w:jc w:val="center"/>
        <w:rPr>
          <w:rFonts w:ascii="Arial;sans-serif" w:hAnsi="Arial;sans-serif"/>
          <w:b/>
          <w:color w:val="000000"/>
          <w:sz w:val="22"/>
          <w:u w:val="single"/>
        </w:rPr>
      </w:pPr>
      <w:r>
        <w:rPr>
          <w:rFonts w:ascii="Arial;sans-serif" w:hAnsi="Arial;sans-serif"/>
          <w:b/>
          <w:color w:val="000000"/>
          <w:sz w:val="22"/>
          <w:u w:val="single"/>
        </w:rPr>
        <w:t>Go To Market Terms</w:t>
      </w:r>
    </w:p>
    <w:p>
      <w:pPr>
        <w:pStyle w:val="TextBody"/>
        <w:bidi w:val="0"/>
        <w:spacing w:before="179" w:after="283"/>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2"/>
        </w:rPr>
        <w:t>1.</w:t>
      </w:r>
      <w:r>
        <w:rPr>
          <w:rFonts w:ascii="Arial;sans-serif" w:hAnsi="Arial;sans-serif"/>
          <w:b/>
          <w:color w:val="000000"/>
          <w:sz w:val="22"/>
        </w:rPr>
        <w:t xml:space="preserve">INTRODUCTION. </w:t>
      </w:r>
      <w:r>
        <w:rPr>
          <w:rFonts w:ascii="Arial;sans-serif" w:hAnsi="Arial;sans-serif"/>
          <w:b w:val="false"/>
          <w:color w:val="000000"/>
          <w:sz w:val="22"/>
        </w:rPr>
        <w:t xml:space="preserve">The activities set forth in this </w:t>
      </w:r>
      <w:r>
        <w:rPr>
          <w:rFonts w:ascii="Arial;sans-serif" w:hAnsi="Arial;sans-serif"/>
          <w:b w:val="false"/>
          <w:color w:val="000000"/>
          <w:sz w:val="22"/>
          <w:u w:val="single"/>
        </w:rPr>
        <w:t>Exhibit K</w:t>
      </w:r>
      <w:r>
        <w:rPr>
          <w:color w:val="000000"/>
        </w:rPr>
        <w:t xml:space="preserve"> </w:t>
      </w:r>
      <w:r>
        <w:rPr>
          <w:rFonts w:ascii="Arial;sans-serif" w:hAnsi="Arial;sans-serif"/>
          <w:b w:val="false"/>
          <w:color w:val="000000"/>
          <w:sz w:val="22"/>
        </w:rPr>
        <w:t>will be used by the Parties as a guideline for the go-to-market activities (the “</w:t>
      </w:r>
      <w:r>
        <w:rPr>
          <w:rFonts w:ascii="Arial;sans-serif" w:hAnsi="Arial;sans-serif"/>
          <w:b/>
          <w:color w:val="000000"/>
          <w:sz w:val="22"/>
        </w:rPr>
        <w:t>Go To Market Plan</w:t>
      </w:r>
      <w:r>
        <w:rPr>
          <w:color w:val="000000"/>
        </w:rPr>
        <w:t>”</w:t>
      </w:r>
      <w:r>
        <w:rPr>
          <w:rFonts w:ascii="Arial;sans-serif" w:hAnsi="Arial;sans-serif"/>
          <w:b w:val="false"/>
          <w:color w:val="000000"/>
          <w:sz w:val="22"/>
        </w:rPr>
        <w:t>). In the event a Party fails to comply with this Go To Market Plan, the Parties agree to work in good faith to develop a mutually acceptable alternative plan to facilitate such go-to-market activities but, for the avoidance of doubt, such failure will not constitute a breach of the Agreement.</w:t>
      </w:r>
    </w:p>
    <w:p>
      <w:pPr>
        <w:pStyle w:val="TextBody"/>
        <w:bidi w:val="0"/>
        <w:spacing w:before="1" w:after="283"/>
        <w:jc w:val="left"/>
        <w:rPr/>
      </w:pPr>
      <w:r>
        <w:rPr/>
      </w:r>
    </w:p>
    <w:p>
      <w:pPr>
        <w:pStyle w:val="TextBody"/>
        <w:bidi w:val="0"/>
        <w:spacing w:lineRule="auto" w:line="240" w:before="1" w:after="283"/>
        <w:ind w:left="0" w:right="0" w:hanging="359"/>
        <w:jc w:val="left"/>
        <w:rPr/>
      </w:pPr>
      <w:r>
        <w:rPr>
          <w:rFonts w:ascii="Arial;sans-serif" w:hAnsi="Arial;sans-serif"/>
          <w:b w:val="false"/>
          <w:color w:val="000000"/>
          <w:sz w:val="22"/>
        </w:rPr>
        <w:t>2.</w:t>
      </w:r>
      <w:r>
        <w:rPr>
          <w:rFonts w:ascii="Arial;sans-serif" w:hAnsi="Arial;sans-serif"/>
          <w:b/>
          <w:color w:val="000000"/>
          <w:sz w:val="22"/>
        </w:rPr>
        <w:t>PLAN.</w:t>
      </w:r>
    </w:p>
    <w:p>
      <w:pPr>
        <w:pStyle w:val="TextBody"/>
        <w:bidi w:val="0"/>
        <w:spacing w:lineRule="auto" w:line="240" w:before="240" w:after="283"/>
        <w:ind w:left="0" w:right="0" w:hanging="450"/>
        <w:jc w:val="both"/>
        <w:rPr/>
      </w:pPr>
      <w:r>
        <w:rPr>
          <w:rFonts w:ascii="Arial;sans-serif" w:hAnsi="Arial;sans-serif"/>
          <w:b w:val="false"/>
          <w:color w:val="000000"/>
          <w:sz w:val="22"/>
        </w:rPr>
        <w:t>2.1.</w:t>
      </w:r>
      <w:r>
        <w:rPr>
          <w:rFonts w:ascii="Arial;sans-serif" w:hAnsi="Arial;sans-serif"/>
          <w:b w:val="false"/>
          <w:color w:val="000000"/>
          <w:sz w:val="22"/>
          <w:u w:val="single"/>
        </w:rPr>
        <w:t>Named Resources</w:t>
      </w:r>
      <w:r>
        <w:rPr>
          <w:rFonts w:ascii="Arial;sans-serif" w:hAnsi="Arial;sans-serif"/>
          <w:b w:val="false"/>
          <w:color w:val="000000"/>
          <w:sz w:val="22"/>
        </w:rPr>
        <w:t xml:space="preserve">. Within ninety (90) days of the Amendment Effective Date, SFDC and Partner shall undertake commercially reasonable efforts to assign named resources to coordinate activities under the Agreement. </w:t>
      </w:r>
      <w:r>
        <w:rPr>
          <w:rFonts w:ascii="Arial;sans-serif" w:hAnsi="Arial;sans-serif"/>
          <w:b w:val="false"/>
          <w:color w:val="333333"/>
          <w:sz w:val="22"/>
        </w:rPr>
        <w:t>Any named resource may, at each Party’s discretion, be re-assigned from time to time throughout the Term of the Agreement.</w:t>
      </w:r>
    </w:p>
    <w:p>
      <w:pPr>
        <w:pStyle w:val="TextBody"/>
        <w:bidi w:val="0"/>
        <w:spacing w:lineRule="auto" w:line="240" w:before="240" w:after="283"/>
        <w:ind w:left="0" w:right="0" w:hanging="450"/>
        <w:jc w:val="both"/>
        <w:rPr/>
      </w:pPr>
      <w:r>
        <w:rPr>
          <w:rFonts w:ascii="Arial;sans-serif" w:hAnsi="Arial;sans-serif"/>
          <w:b w:val="false"/>
          <w:color w:val="000000"/>
          <w:sz w:val="22"/>
        </w:rPr>
        <w:t>2.2.</w:t>
      </w:r>
      <w:r>
        <w:rPr>
          <w:rFonts w:ascii="Arial;sans-serif" w:hAnsi="Arial;sans-serif"/>
          <w:b w:val="false"/>
          <w:color w:val="000000"/>
          <w:sz w:val="22"/>
          <w:u w:val="single"/>
        </w:rPr>
        <w:t>Confidentiality</w:t>
      </w:r>
      <w:r>
        <w:rPr>
          <w:rFonts w:ascii="Arial;sans-serif" w:hAnsi="Arial;sans-serif"/>
          <w:b w:val="false"/>
          <w:color w:val="000000"/>
          <w:sz w:val="22"/>
        </w:rPr>
        <w:t>. Any efforts or activities outlined herein shall not in any way be interpreted as requiring either Party to violate (or to appear to violate) any confidentiality obligations under this Agreement or with any third parties, including, for example and without limitation, Customers.</w:t>
      </w:r>
    </w:p>
    <w:p>
      <w:pPr>
        <w:pStyle w:val="TextBody"/>
        <w:bidi w:val="0"/>
        <w:spacing w:lineRule="auto" w:line="240" w:before="240" w:after="283"/>
        <w:ind w:left="0" w:right="0" w:hanging="450"/>
        <w:jc w:val="both"/>
        <w:rPr/>
      </w:pPr>
      <w:r>
        <w:rPr>
          <w:rFonts w:ascii="Arial;sans-serif" w:hAnsi="Arial;sans-serif"/>
          <w:b w:val="false"/>
          <w:color w:val="000000"/>
          <w:sz w:val="22"/>
        </w:rPr>
        <w:t>2.3.</w:t>
      </w:r>
      <w:r>
        <w:rPr>
          <w:rFonts w:ascii="Arial;sans-serif" w:hAnsi="Arial;sans-serif"/>
          <w:b w:val="false"/>
          <w:color w:val="000000"/>
          <w:sz w:val="22"/>
          <w:u w:val="single"/>
        </w:rPr>
        <w:t>Term</w:t>
      </w:r>
      <w:r>
        <w:rPr>
          <w:rFonts w:ascii="Arial;sans-serif" w:hAnsi="Arial;sans-serif"/>
          <w:b w:val="false"/>
          <w:color w:val="000000"/>
          <w:sz w:val="22"/>
        </w:rPr>
        <w:t>. The term of the Go To Market Plan shall be the Minimum Revenue Commitment Term.</w:t>
      </w:r>
    </w:p>
    <w:p>
      <w:pPr>
        <w:pStyle w:val="TextBody"/>
        <w:bidi w:val="0"/>
        <w:spacing w:before="25" w:after="283"/>
        <w:jc w:val="left"/>
        <w:rPr/>
      </w:pPr>
      <w:r>
        <w:rPr/>
      </w:r>
    </w:p>
    <w:p>
      <w:pPr>
        <w:pStyle w:val="TextBody"/>
        <w:bidi w:val="0"/>
        <w:spacing w:lineRule="auto" w:line="240" w:before="1" w:after="283"/>
        <w:ind w:left="0" w:right="0" w:hanging="360"/>
        <w:jc w:val="both"/>
        <w:rPr/>
      </w:pPr>
      <w:r>
        <w:rPr>
          <w:rFonts w:ascii="Arial;sans-serif" w:hAnsi="Arial;sans-serif"/>
          <w:b w:val="false"/>
          <w:color w:val="000000"/>
          <w:sz w:val="22"/>
        </w:rPr>
        <w:t>3.</w:t>
      </w:r>
      <w:r>
        <w:rPr>
          <w:rFonts w:ascii="Arial;sans-serif" w:hAnsi="Arial;sans-serif"/>
          <w:b/>
          <w:color w:val="000000"/>
          <w:sz w:val="22"/>
        </w:rPr>
        <w:t xml:space="preserve">PRODUCT. </w:t>
      </w:r>
      <w:r>
        <w:rPr>
          <w:rFonts w:ascii="Arial;sans-serif" w:hAnsi="Arial;sans-serif"/>
          <w:b w:val="false"/>
          <w:color w:val="000000"/>
          <w:sz w:val="22"/>
        </w:rPr>
        <w:t>On a biannual basis, Partner and SFDC agree to review product development roadmaps related to the activities under this Agreement, with the understanding that product roadmaps are not a guarantee of the availability of such future products. [***].</w:t>
      </w:r>
    </w:p>
    <w:p>
      <w:pPr>
        <w:pStyle w:val="TextBody"/>
        <w:bidi w:val="0"/>
        <w:spacing w:before="25" w:after="283"/>
        <w:jc w:val="left"/>
        <w:rPr/>
      </w:pPr>
      <w:r>
        <w:rPr/>
      </w:r>
    </w:p>
    <w:p>
      <w:pPr>
        <w:pStyle w:val="TextBody"/>
        <w:bidi w:val="0"/>
        <w:spacing w:lineRule="auto" w:line="240" w:before="1" w:after="283"/>
        <w:ind w:left="0" w:right="0" w:hanging="360"/>
        <w:jc w:val="both"/>
        <w:rPr/>
      </w:pPr>
      <w:r>
        <w:rPr>
          <w:rFonts w:ascii="Arial;sans-serif" w:hAnsi="Arial;sans-serif"/>
          <w:b w:val="false"/>
          <w:color w:val="000000"/>
          <w:sz w:val="22"/>
        </w:rPr>
        <w:t>4.</w:t>
      </w:r>
      <w:r>
        <w:rPr>
          <w:rFonts w:ascii="Arial;sans-serif" w:hAnsi="Arial;sans-serif"/>
          <w:b/>
          <w:color w:val="000000"/>
          <w:sz w:val="22"/>
        </w:rPr>
        <w:t xml:space="preserve">SALES AND MARKETING. </w:t>
      </w:r>
      <w:r>
        <w:rPr>
          <w:rFonts w:ascii="Arial;sans-serif" w:hAnsi="Arial;sans-serif"/>
          <w:b w:val="false"/>
          <w:color w:val="000000"/>
          <w:sz w:val="22"/>
        </w:rPr>
        <w:t>Within ninety (90) days of Amendment Effective Date, SFDC and Partner shall undertake commercially reasonable efforts to develop a joint press release or other similar announcement to publicize the extension of the partnership agreement. Additionally, sales and marketing plan to identify opportunities to create brand awareness.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color w:val="000000"/>
                                <w:sz w:val="18"/>
                              </w:rPr>
                              <w:t>Page 4 of 4            </w:t>
                            </w:r>
                            <w:r>
                              <w:rPr>
                                <w:rFonts w:ascii="Times New Roman;sans-serif" w:hAnsi="Times New Roman;sans-serif"/>
                                <w:b/>
                                <w:i/>
                                <w:color w:val="00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color w:val="000000"/>
                          <w:sz w:val="18"/>
                        </w:rPr>
                        <w:t>Page 4 of 4            </w:t>
                      </w:r>
                      <w:r>
                        <w:rPr>
                          <w:rFonts w:ascii="Times New Roman;sans-serif" w:hAnsi="Times New Roman;sans-serif"/>
                          <w:b/>
                          <w:i/>
                          <w:color w:val="000000"/>
                          <w:sz w:val="20"/>
                        </w:rPr>
                        <w:t>CONFIDENTIAL</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21.1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LIST OF SUBSIDIARIES OF THE REGISTRANT</w:t>
      </w:r>
    </w:p>
    <w:p>
      <w:pPr>
        <w:pStyle w:val="TextBody"/>
        <w:bidi w:val="0"/>
        <w:spacing w:before="0" w:after="0"/>
        <w:jc w:val="left"/>
        <w:rPr/>
      </w:pPr>
      <w:r>
        <w:rPr/>
      </w:r>
    </w:p>
    <w:tbl>
      <w:tblPr>
        <w:tblW w:w="8366" w:type="dxa"/>
        <w:jc w:val="left"/>
        <w:tblInd w:w="0" w:type="dxa"/>
        <w:tblLayout w:type="fixed"/>
        <w:tblCellMar>
          <w:top w:w="28" w:type="dxa"/>
          <w:left w:w="28" w:type="dxa"/>
          <w:bottom w:w="28" w:type="dxa"/>
          <w:right w:w="28" w:type="dxa"/>
        </w:tblCellMar>
      </w:tblPr>
      <w:tblGrid>
        <w:gridCol w:w="1445"/>
        <w:gridCol w:w="1269"/>
        <w:gridCol w:w="1275"/>
        <w:gridCol w:w="109"/>
        <w:gridCol w:w="109"/>
        <w:gridCol w:w="109"/>
        <w:gridCol w:w="1184"/>
        <w:gridCol w:w="1184"/>
        <w:gridCol w:w="1682"/>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OpCo,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APAC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FinSuite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New Zealand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Canada,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Global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France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Germany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Spain S.L.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nCino Portfolio Analytics,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(Delaware)</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SimpleNexus, LLC d/b/a nCino Mortgage,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(Utah)</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SNX Insurance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(Utah)</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 Brewer and Associates,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(Georgia)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
        <w:jc w:val="right"/>
        <w:rPr>
          <w:rFonts w:ascii="Times New Roman;sans-serif" w:hAnsi="Times New Roman;sans-serif"/>
          <w:b/>
          <w:color w:val="000000"/>
          <w:sz w:val="22"/>
        </w:rPr>
      </w:pPr>
      <w:r>
        <w:rPr>
          <w:rFonts w:ascii="Times New Roman;sans-serif" w:hAnsi="Times New Roman;sans-serif"/>
          <w:b/>
          <w:color w:val="000000"/>
          <w:sz w:val="22"/>
        </w:rPr>
        <w:t>Exhibit 23.1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333333"/>
          <w:sz w:val="22"/>
        </w:rPr>
      </w:pPr>
      <w:r>
        <w:rPr>
          <w:rFonts w:ascii="Times New Roman;sans-serif" w:hAnsi="Times New Roman;sans-serif"/>
          <w:b w:val="false"/>
          <w:color w:val="333333"/>
          <w:sz w:val="22"/>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333333"/>
          <w:sz w:val="22"/>
        </w:rPr>
      </w:pPr>
      <w:r>
        <w:rPr>
          <w:rFonts w:ascii="Times New Roman;sans-serif" w:hAnsi="Times New Roman;sans-serif"/>
          <w:b w:val="false"/>
          <w:color w:val="333333"/>
          <w:sz w:val="22"/>
        </w:rPr>
        <w:t xml:space="preserve">We consent to the incorporation by reference in the following Registration Statements: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(1)Registration Statement (Form S-3 No. 333-262084) of nCino, Inc.,</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(2)Registration Statements (Form S-8 Nos. 333-264042 and 333-270916) pertaining to the nCino, Inc. 2019 Amended and Restated Equity Incentive Plan and the nCino, Inc. Employee Stock Purchase Plan,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(3)Registration Statements (Form S-8 Nos. 333-239907 and 333-254938) pertaining to the nCino, Inc. 2019 Amended and Restated Equity Incentive Plan, the nCino, Inc 2014 Omnibus Stock Ownership and Long Term Incentive Plan and the nCino, Inc. Employee Stock Purchase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333333"/>
          <w:sz w:val="22"/>
        </w:rPr>
      </w:pPr>
      <w:r>
        <w:rPr>
          <w:rFonts w:ascii="Times New Roman;sans-serif" w:hAnsi="Times New Roman;sans-serif"/>
          <w:b w:val="false"/>
          <w:color w:val="333333"/>
          <w:sz w:val="22"/>
        </w:rPr>
        <w:t xml:space="preserve">of our reports dated March 26, 2024, with respect to the consolidated financial statements of nCino, Inc. and the effectiveness of internal control over financial reporting of nCino, Inc., included in this Annual Report (Form 10-K) for the year ended January 31, 2024.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0"/>
        <w:jc w:val="left"/>
        <w:rPr>
          <w:rFonts w:ascii="Times New Roman;sans-serif" w:hAnsi="Times New Roman;sans-serif"/>
          <w:b w:val="false"/>
          <w:color w:val="333333"/>
          <w:sz w:val="22"/>
        </w:rPr>
      </w:pPr>
      <w:r>
        <w:rPr>
          <w:rFonts w:ascii="Times New Roman;sans-serif" w:hAnsi="Times New Roman;sans-serif"/>
          <w:b w:val="false"/>
          <w:color w:val="333333"/>
          <w:sz w:val="22"/>
        </w:rPr>
        <w:t>/s/ Ernst &amp; Young LLP</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Raleigh, North Carolina</w:t>
      </w:r>
    </w:p>
    <w:p>
      <w:pPr>
        <w:pStyle w:val="TextBody"/>
        <w:bidi w:val="0"/>
        <w:spacing w:lineRule="auto" w:line="256"/>
        <w:jc w:val="left"/>
        <w:rPr>
          <w:rFonts w:ascii="Times New Roman;sans-serif" w:hAnsi="Times New Roman;sans-serif"/>
          <w:b w:val="false"/>
          <w:color w:val="000000"/>
          <w:sz w:val="22"/>
        </w:rPr>
      </w:pPr>
      <w:r>
        <w:rPr>
          <w:rFonts w:ascii="Times New Roman;sans-serif" w:hAnsi="Times New Roman;sans-serif"/>
          <w:b w:val="false"/>
          <w:color w:val="000000"/>
          <w:sz w:val="22"/>
        </w:rPr>
        <w:t>March 26,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Pierre Naudé,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Annual Report on Form 10-K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6684"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144"/>
        <w:gridCol w:w="144"/>
        <w:gridCol w:w="146"/>
        <w:gridCol w:w="1096"/>
        <w:gridCol w:w="1096"/>
        <w:gridCol w:w="1557"/>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Gregory D. Orenstein,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Annual Report on Form 10-K of nCino, Inc.;</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tbl>
      <w:tblPr>
        <w:tblW w:w="6414"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144"/>
        <w:gridCol w:w="144"/>
        <w:gridCol w:w="146"/>
        <w:gridCol w:w="1016"/>
        <w:gridCol w:w="1016"/>
        <w:gridCol w:w="1447"/>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nCino, Inc. (the “Company”) on Form 10-K for the fiscal year ended January 31,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684"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144"/>
        <w:gridCol w:w="144"/>
        <w:gridCol w:w="146"/>
        <w:gridCol w:w="1096"/>
        <w:gridCol w:w="1096"/>
        <w:gridCol w:w="1557"/>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Chairman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nCino, Inc. (the “Company”) on Form 10-K for the fiscal year ended January 31, 2024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414"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144"/>
        <w:gridCol w:w="144"/>
        <w:gridCol w:w="146"/>
        <w:gridCol w:w="1016"/>
        <w:gridCol w:w="1016"/>
        <w:gridCol w:w="1447"/>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March 26,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79" w:after="283"/>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NCINO,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POLICY ON RECOUPMENT OF INCENTIVE COMPENSATION</w:t>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Introduction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The Compensation Committee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of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nCino,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adopted this Policy on Recoupment of Incentive Compensation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which provides for the recoupment of compensation in certain circumstances in the event of a restatement of financial results by the Company. This Policy shall be interpreted to comply with the requirements of U.S. Securities and Exchange Commission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rules and Nasdaq Stock Market (“</w:t>
      </w:r>
      <w:r>
        <w:rPr>
          <w:rFonts w:ascii="Times New Roman;sans-serif" w:hAnsi="Times New Roman;sans-serif"/>
          <w:b w:val="false"/>
          <w:color w:val="000000"/>
          <w:sz w:val="24"/>
          <w:u w:val="single"/>
        </w:rPr>
        <w:t>Nasdaq</w:t>
      </w:r>
      <w:r>
        <w:rPr>
          <w:color w:val="000000"/>
        </w:rPr>
        <w:t>”</w:t>
      </w:r>
      <w:r>
        <w:rPr>
          <w:rFonts w:ascii="Times New Roman;sans-serif" w:hAnsi="Times New Roman;sans-serif"/>
          <w:b w:val="false"/>
          <w:color w:val="000000"/>
          <w:sz w:val="24"/>
        </w:rPr>
        <w:t>) listing standards implementing Section 954 of the Dodd-Frank Wall Street Reform and Consumer Protection Act of 2010 (the “</w:t>
      </w:r>
      <w:r>
        <w:rPr>
          <w:rFonts w:ascii="Times New Roman;sans-serif" w:hAnsi="Times New Roman;sans-serif"/>
          <w:b w:val="false"/>
          <w:color w:val="000000"/>
          <w:sz w:val="24"/>
          <w:u w:val="single"/>
        </w:rPr>
        <w:t>Dodd-Frank Act</w:t>
      </w:r>
      <w:r>
        <w:rPr>
          <w:color w:val="000000"/>
        </w:rPr>
        <w:t>”</w:t>
      </w:r>
      <w:r>
        <w:rPr>
          <w:rFonts w:ascii="Times New Roman;sans-serif" w:hAnsi="Times New Roman;sans-serif"/>
          <w:b w:val="false"/>
          <w:color w:val="000000"/>
          <w:sz w:val="24"/>
        </w:rPr>
        <w:t>) and, to the extent this Policy is in any manner deemed inconsistent with such rules, this Policy shall be treated as retroactively amended to be compliant with such rules.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Administration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Covered Executives</w:t>
      </w:r>
    </w:p>
    <w:p>
      <w:pPr>
        <w:pStyle w:val="TextBody"/>
        <w:bidi w:val="0"/>
        <w:spacing w:lineRule="auto" w:line="240" w:before="240" w:after="283"/>
        <w:jc w:val="left"/>
        <w:rPr/>
      </w:pPr>
      <w:r>
        <w:rPr>
          <w:rFonts w:ascii="Times New Roman;sans-serif" w:hAnsi="Times New Roman;sans-serif"/>
          <w:b w:val="false"/>
          <w:color w:val="000000"/>
          <w:sz w:val="24"/>
        </w:rPr>
        <w:t>This Policy applies to any current or former “executive officer,” within the meaning of Rule 10D-1 under the Securities Exchange Act of 1934, as amended, of the Company or a subsidiary of the Company (each such individual, an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This Policy shall be binding and enforceable against all Executives and their beneficiaries, executors, administrators, and other legal representatives.</w:t>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Recoupment Upon Financial Restatement</w:t>
      </w:r>
    </w:p>
    <w:p>
      <w:pPr>
        <w:pStyle w:val="TextBody"/>
        <w:bidi w:val="0"/>
        <w:spacing w:lineRule="auto" w:line="240" w:before="276" w:after="283"/>
        <w:jc w:val="left"/>
        <w:rPr/>
      </w:pPr>
      <w:r>
        <w:rPr>
          <w:rFonts w:ascii="Times New Roman;sans-serif" w:hAnsi="Times New Roman;sans-serif"/>
          <w:b w:val="false"/>
          <w:color w:val="000000"/>
          <w:sz w:val="24"/>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sans-serif" w:hAnsi="Times New Roman;sans-serif"/>
          <w:b w:val="false"/>
          <w:color w:val="000000"/>
          <w:sz w:val="24"/>
          <w:u w:val="single"/>
        </w:rPr>
        <w:t>Financial Restatement</w:t>
      </w:r>
      <w:r>
        <w:rPr>
          <w:color w:val="000000"/>
        </w:rPr>
        <w:t>”</w:t>
      </w:r>
      <w:r>
        <w:rPr>
          <w:rFonts w:ascii="Times New Roman;sans-serif" w:hAnsi="Times New Roman;sans-serif"/>
          <w:b w:val="false"/>
          <w:color w:val="000000"/>
          <w:sz w:val="24"/>
        </w:rPr>
        <w:t>), the Compensation Committee shall cause the Company to recoup from each Executive, as promptly as reasonably possible, any erroneously awarded Incentive-Based Compensation, as defined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28270"/>
                <wp:effectExtent l="0" t="0" r="0" b="0"/>
                <wp:wrapNone/>
                <wp:docPr id="121" name="Frame11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79"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No-Fault Recovery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Recoupment under this Policy shall be required regardless of whether the Executive or any other person was at fault or responsible for accounting errors that contributed to the need for the Financial Restatement or engaged in any misconduct.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Compensation Subject to Recovery; Enforcement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w:t>
      </w:r>
      <w:r>
        <w:rPr>
          <w:rFonts w:ascii="Times New Roman;sans-serif" w:hAnsi="Times New Roman;sans-serif"/>
          <w:b w:val="false"/>
          <w:color w:val="000000"/>
          <w:sz w:val="24"/>
          <w:u w:val="single"/>
        </w:rPr>
        <w:t>TSR</w:t>
      </w:r>
      <w:r>
        <w:rPr>
          <w:color w:val="000000"/>
        </w:rPr>
        <w:t>”</w:t>
      </w:r>
      <w:r>
        <w:rPr>
          <w:rFonts w:ascii="Times New Roman;sans-serif" w:hAnsi="Times New Roman;sans-serif"/>
          <w:b w:val="false"/>
          <w:color w:val="000000"/>
          <w:sz w:val="24"/>
        </w:rPr>
        <w:t>), including but not limited to performance-based cash, stock, options or other equity-based awards paid or granted to the Executive (“</w:t>
      </w:r>
      <w:r>
        <w:rPr>
          <w:rFonts w:ascii="Times New Roman;sans-serif" w:hAnsi="Times New Roman;sans-serif"/>
          <w:b w:val="false"/>
          <w:color w:val="000000"/>
          <w:sz w:val="24"/>
          <w:u w:val="single"/>
        </w:rPr>
        <w:t>Incentive-Based</w:t>
      </w:r>
      <w:r>
        <w:rPr>
          <w:color w:val="000000"/>
        </w:rPr>
        <w:t xml:space="preserve"> </w:t>
      </w:r>
      <w:r>
        <w:rPr>
          <w:rFonts w:ascii="Times New Roman;sans-serif" w:hAnsi="Times New Roman;sans-serif"/>
          <w:b w:val="false"/>
          <w:color w:val="000000"/>
          <w:sz w:val="24"/>
          <w:u w:val="single"/>
        </w:rPr>
        <w:t>Compensation</w:t>
      </w:r>
      <w:r>
        <w:rPr>
          <w:color w:val="000000"/>
        </w:rPr>
        <w:t>”</w:t>
      </w:r>
      <w:r>
        <w:rPr>
          <w:rFonts w:ascii="Times New Roman;sans-serif" w:hAnsi="Times New Roman;sans-serif"/>
          <w:b w:val="false"/>
          <w:color w:val="000000"/>
          <w:sz w:val="24"/>
        </w:rPr>
        <w:t>). Compensation that is granted, vests or is earned based solely upon the occurrence of non-financial events, such as base salary, restricted stock or options with time- based vesting, or a bonus awarded solely at the discretion of the Board or Compensation Committee and not based on the attainment of any financial measure, is not subject to this Policy.</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sans-serif" w:hAnsi="Times New Roman;sans-serif"/>
          <w:b w:val="false"/>
          <w:color w:val="000000"/>
          <w:sz w:val="24"/>
          <w:u w:val="single"/>
        </w:rPr>
        <w:t>Recovery Period</w:t>
      </w:r>
      <w:r>
        <w:rPr>
          <w:color w:val="000000"/>
        </w:rPr>
        <w:t xml:space="preserve">” </w:t>
      </w:r>
      <w:r>
        <w:rPr>
          <w:rFonts w:ascii="Times New Roman;sans-serif" w:hAnsi="Times New Roman;sans-serif"/>
          <w:b w:val="false"/>
          <w:color w:val="000000"/>
          <w:sz w:val="24"/>
        </w:rPr>
        <w:t>means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Company shall document the determination of that estimate and provide it to Nasdaq.</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Incentive-Based Compensation is considered to have been received by an Executive in the fiscal year during which the applicable financial reporting measure was attained or purportedly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attained, even if the payment or grant of such Incentive-Based Compensation occurs after the end of that period.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may use any legal or equitable remedies that are available to the Company to recoup any erroneously awarded Incentive-Based Compensation, including but not limited to by collecting from the Executive cash payments or shares of Company common stock from or by forfeiting any amounts that the Company owes to the Executive.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No Indemnification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any Executive or pay or reimburse the premium for any insurance policy to cover any losses incurred by such Executive under this Policy.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Exceptions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compensation recouped under this Policy shall not include Incentive-Based Compensation received by an Executive (i) prior to beginning service as an Executive or (ii) if he or she did not serve as an Executive at any time during the performance period applicable to the Incentive- Based Compensation in question. The Compensation Committee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 recovery would likely cause the Company’s 401(k) plan or any other tax-qualified retirement plan to fail to meet the requirements of Section 401(a)(13) or Section 411(a) of the Internal Revenue Code of 1986, as amended, and the regulations thereunder.</w:t>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Other Remedies Not Precluded</w:t>
      </w:r>
    </w:p>
    <w:p>
      <w:pPr>
        <w:pStyle w:val="TextBody"/>
        <w:bidi w:val="0"/>
        <w:spacing w:lineRule="auto" w:line="240" w:before="2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exercise by the Compensation Committee of any rights pursuant to this Policy shall be without prejudice to any other rights or remedies that the Company, the Board or the Compensation Committee may have with respect to any Executive subject to this Policy.</w:t>
      </w:r>
    </w:p>
    <w:p>
      <w:pPr>
        <w:pStyle w:val="TextBody"/>
        <w:bidi w:val="0"/>
        <w:spacing w:lineRule="auto" w:line="240" w:before="276"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Effective Date and Applicability</w:t>
      </w:r>
    </w:p>
    <w:p>
      <w:pPr>
        <w:pStyle w:val="TextBody"/>
        <w:bidi w:val="0"/>
        <w:spacing w:lineRule="auto" w:line="240" w:before="2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has been adopted by the Compensation Committee on August 8, 2023, and shall apply to any Incentive-Based Compensation that is received by an Executive on or after October 2, 2023.</w:t>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66895/000156689521000036/agreementandplanofmerger11.htm" TargetMode="External"/><Relationship Id="rId5" Type="http://schemas.openxmlformats.org/officeDocument/2006/relationships/hyperlink" Target="https://www.sec.gov/Archives/edgar/data/1902733/000119312522005239/d246602dex31.htm" TargetMode="External"/><Relationship Id="rId6" Type="http://schemas.openxmlformats.org/officeDocument/2006/relationships/hyperlink" Target="https://www.sec.gov/Archives/edgar/data/1902733/000190273322000031/amendedandrestatedbylaws.htm" TargetMode="External"/><Relationship Id="rId7" Type="http://schemas.openxmlformats.org/officeDocument/2006/relationships/hyperlink" Target="https://www.sec.gov/Archives/edgar/data/1902733/000190273322000013/exhibit41ncinoincstockce.htm" TargetMode="External"/><Relationship Id="rId8" Type="http://schemas.openxmlformats.org/officeDocument/2006/relationships/hyperlink" Target="https://www.sec.gov/Archives/edgar/data/1566895/000119312520174870/d828449dex42.htm" TargetMode="External"/><Relationship Id="rId9" Type="http://schemas.openxmlformats.org/officeDocument/2006/relationships/hyperlink" Target="https://www.sec.gov/Archives/edgar/data/1566895/000119312520187868/d828449dex43.htm" TargetMode="External"/><Relationship Id="rId10" Type="http://schemas.openxmlformats.org/officeDocument/2006/relationships/hyperlink" Target="https://www.sec.gov/Archives/edgar/data/1566895/000119312520187868/d828449dex44.htm" TargetMode="External"/><Relationship Id="rId11" Type="http://schemas.openxmlformats.org/officeDocument/2006/relationships/hyperlink" Target="https://www.sec.gov/Archives/edgar/data/1566895/000119312520187868/d828449dex45.htm" TargetMode="External"/><Relationship Id="rId12" Type="http://schemas.openxmlformats.org/officeDocument/2006/relationships/hyperlink" Target="https://www.sec.gov/Archives/edgar/data/1566895/000119312520187868/d828449dex46.htm" TargetMode="External"/><Relationship Id="rId13" Type="http://schemas.openxmlformats.org/officeDocument/2006/relationships/hyperlink" Target="https://www.sec.gov/Archives/edgar/data/1566895/000119312520187868/d828449dex47.htm" TargetMode="External"/><Relationship Id="rId14" Type="http://schemas.openxmlformats.org/officeDocument/2006/relationships/hyperlink" Target="https://www.sec.gov/Archives/edgar/data/1566895/000119312520187868/d828449dex48.htm" TargetMode="External"/><Relationship Id="rId15" Type="http://schemas.openxmlformats.org/officeDocument/2006/relationships/hyperlink" Target="https://www.sec.gov/Archives/edgar/data/1566895/000119312520187868/d828449dex49.htm" TargetMode="External"/><Relationship Id="rId16" Type="http://schemas.openxmlformats.org/officeDocument/2006/relationships/hyperlink" Target="https://www.sec.gov/Archives/edgar/data/1902733/000119312522005239/d246602dex41.htm" TargetMode="External"/><Relationship Id="rId17" Type="http://schemas.openxmlformats.org/officeDocument/2006/relationships/hyperlink" Target="https://www.sec.gov/Archives/edgar/data/1902733/000190273323000024/exhibit411descriptionofcom.htm" TargetMode="External"/><Relationship Id="rId18" Type="http://schemas.openxmlformats.org/officeDocument/2006/relationships/hyperlink" Target="https://www.sec.gov/Archives/edgar/data/1566895/000119312520174870/d828449dex101.htm" TargetMode="External"/><Relationship Id="rId19" Type="http://schemas.openxmlformats.org/officeDocument/2006/relationships/hyperlink" Target="https://www.sec.gov/Archives/edgar/data/1566895/000119312520187868/d828449dex102.htm" TargetMode="External"/><Relationship Id="rId20" Type="http://schemas.openxmlformats.org/officeDocument/2006/relationships/hyperlink" Target="https://www.sec.gov/Archives/edgar/data/1566895/000119312520187868/d828449dex103.htm" TargetMode="External"/><Relationship Id="rId21" Type="http://schemas.openxmlformats.org/officeDocument/2006/relationships/hyperlink" Target="https://www.sec.gov/Archives/edgar/data/1566895/000119312520187868/d828449dex104.htm" TargetMode="External"/><Relationship Id="rId22" Type="http://schemas.openxmlformats.org/officeDocument/2006/relationships/hyperlink" Target="https://www.sec.gov/Archives/edgar/data/1566895/000119312520187868/d828449dex106.htm" TargetMode="External"/><Relationship Id="rId23" Type="http://schemas.openxmlformats.org/officeDocument/2006/relationships/hyperlink" Target="https://www.sec.gov/Archives/edgar/data/1902733/000190273323000024/exhibit107amendedandrestat.htm" TargetMode="External"/><Relationship Id="rId24" Type="http://schemas.openxmlformats.org/officeDocument/2006/relationships/hyperlink" Target="https://www.sec.gov/Archives/edgar/data/1902733/000190273323000024/exhibit108employmentagreem.htm" TargetMode="External"/><Relationship Id="rId25" Type="http://schemas.openxmlformats.org/officeDocument/2006/relationships/hyperlink" Target="https://www.sec.gov/Archives/edgar/data/1902733/000190273323000024/exhibit109employmentagreem.htm" TargetMode="External"/><Relationship Id="rId26" Type="http://schemas.openxmlformats.org/officeDocument/2006/relationships/hyperlink" Target="https://www.sec.gov/Archives/edgar/data/1566895/000119312520187868/d828449dex108.htm" TargetMode="External"/><Relationship Id="rId27" Type="http://schemas.openxmlformats.org/officeDocument/2006/relationships/hyperlink" Target="https://www.sec.gov/Archives/edgar/data/1902733/000190273322000013/exhibit109formofindemnific.htm" TargetMode="External"/><Relationship Id="rId28" Type="http://schemas.openxmlformats.org/officeDocument/2006/relationships/hyperlink" Target="https://www.sec.gov/Archives/edgar/data/1902733/000190273322000013/exhibit1010formofexecutive.htm" TargetMode="External"/><Relationship Id="rId29" Type="http://schemas.openxmlformats.org/officeDocument/2006/relationships/hyperlink" Target="https://www.sec.gov/Archives/edgar/data/1566895/000119312520174870/d828449dex107.htm" TargetMode="External"/><Relationship Id="rId30" Type="http://schemas.openxmlformats.org/officeDocument/2006/relationships/hyperlink" Target="https://www.sec.gov/Archives/edgar/data/1566895/000162828020016993/existingbuildinglease-.htm" TargetMode="External"/><Relationship Id="rId31" Type="http://schemas.openxmlformats.org/officeDocument/2006/relationships/hyperlink" Target="https://www.sec.gov/Archives/edgar/data/1566895/000162828020016993/wilmingtoninvestorsnci.htm" TargetMode="External"/><Relationship Id="rId32" Type="http://schemas.openxmlformats.org/officeDocument/2006/relationships/hyperlink" Target="https://www.sec.gov/Archives/edgar/data/1566895/000162828020016993/ncinocloud-agreementre.htm" TargetMode="External"/><Relationship Id="rId33" Type="http://schemas.openxmlformats.org/officeDocument/2006/relationships/hyperlink" Target="https://www.sec.gov/Archives/edgar/data/1566895/000156689521000007/exhibit1012fy202110k.htm" TargetMode="External"/><Relationship Id="rId34" Type="http://schemas.openxmlformats.org/officeDocument/2006/relationships/hyperlink" Target="https://www.sec.gov/Archives/edgar/data/1566895/000156689521000012/exhibit1018-k4521.htm" TargetMode="External"/><Relationship Id="rId35" Type="http://schemas.openxmlformats.org/officeDocument/2006/relationships/hyperlink" Target="https://www.sec.gov/Archives/edgar/data/1566895/000156689521000020/exhibit101q1202210q.htm" TargetMode="External"/><Relationship Id="rId36" Type="http://schemas.openxmlformats.org/officeDocument/2006/relationships/hyperlink" Target="https://www.sec.gov/Archives/edgar/data/1566895/000156689521000036/restrictivecovenantagreeme.htm" TargetMode="External"/><Relationship Id="rId37" Type="http://schemas.openxmlformats.org/officeDocument/2006/relationships/hyperlink" Target="https://www.sec.gov/Archives/edgar/data/1566895/000156689521000044/exhibit102parkingdeckrenta.htm" TargetMode="External"/><Relationship Id="rId38" Type="http://schemas.openxmlformats.org/officeDocument/2006/relationships/hyperlink" Target="https://www.sec.gov/Archives/edgar/data/1902733/000119312522041613/d319370dex101.htm" TargetMode="External"/><Relationship Id="rId39" Type="http://schemas.openxmlformats.org/officeDocument/2006/relationships/hyperlink" Target="https://www.sec.gov/Archives/edgar/data/1902733/000190273322000036/exhibit101newbuildingcompl.htm" TargetMode="External"/><Relationship Id="rId40" Type="http://schemas.openxmlformats.org/officeDocument/2006/relationships/hyperlink" Target="https://www.sec.gov/Archives/edgar/data/1902733/000190273323000024/exhibit1025firstamendmentt.htm" TargetMode="External"/><Relationship Id="rId41" Type="http://schemas.openxmlformats.org/officeDocument/2006/relationships/hyperlink" Target="https://www.sec.gov/Archives/edgar/data/1902733/000190273323000024/exhibit1026thirdamendmentt.htm" TargetMode="External"/><Relationship Id="rId42" Type="http://schemas.openxmlformats.org/officeDocument/2006/relationships/hyperlink" Target="https://www.sec.gov/Archives/edgar/data/1902733/000190273324000041/firstamendmenttocreditagre.htm" TargetMode="External"/><Relationship Id="rId43" Type="http://schemas.openxmlformats.org/officeDocument/2006/relationships/hyperlink" Target="https://www.sec.gov/ix?doc=/Archives/edgar/data/1902733/000190273324000046/ncno-20240317.htm" TargetMode="External"/><Relationship Id="rId44" Type="http://schemas.openxmlformats.org/officeDocument/2006/relationships/image" Target="media/image3.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63589</Words>
  <Characters>357725</Characters>
  <CharactersWithSpaces>418344</CharactersWithSpaces>
  <Paragraphs>4173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