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As filed with the Securities and Exchange Commission on October 5, 2020</w:t>
      </w:r>
    </w:p>
    <w:p>
      <w:pPr>
        <w:spacing w:after="0" w:line="26" w:lineRule="exact"/>
        <w:rPr>
          <w:sz w:val="24"/>
          <w:szCs w:val="24"/>
          <w:color w:val="auto"/>
        </w:rPr>
      </w:pPr>
    </w:p>
    <w:p>
      <w:pPr>
        <w:ind w:left="9280"/>
        <w:spacing w:after="0"/>
        <w:rPr>
          <w:sz w:val="20"/>
          <w:szCs w:val="20"/>
          <w:color w:val="auto"/>
        </w:rPr>
      </w:pPr>
      <w:r>
        <w:rPr>
          <w:rFonts w:ascii="Arial" w:cs="Arial" w:eastAsia="Arial" w:hAnsi="Arial"/>
          <w:sz w:val="15"/>
          <w:szCs w:val="15"/>
          <w:b w:val="1"/>
          <w:bCs w:val="1"/>
          <w:color w:val="auto"/>
        </w:rPr>
        <w:t>Registration No. 333-</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UNITED STATES</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line="237" w:lineRule="auto"/>
        <w:rPr>
          <w:sz w:val="20"/>
          <w:szCs w:val="20"/>
          <w:color w:val="auto"/>
        </w:rPr>
      </w:pPr>
      <w:r>
        <w:rPr>
          <w:rFonts w:ascii="Arial" w:cs="Arial" w:eastAsia="Arial" w:hAnsi="Arial"/>
          <w:sz w:val="19"/>
          <w:szCs w:val="19"/>
          <w:b w:val="1"/>
          <w:bCs w:val="1"/>
          <w:color w:val="auto"/>
        </w:rPr>
        <w:t>Washington, D.C. 20549</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FORM S-1</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nCino, Inc.</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1"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2900" w:type="dxa"/>
            <w:vAlign w:val="bottom"/>
          </w:tcPr>
          <w:p>
            <w:pPr>
              <w:jc w:val="center"/>
              <w:ind w:right="799"/>
              <w:spacing w:after="0"/>
              <w:rPr>
                <w:sz w:val="20"/>
                <w:szCs w:val="20"/>
                <w:color w:val="auto"/>
              </w:rPr>
            </w:pPr>
            <w:r>
              <w:rPr>
                <w:rFonts w:ascii="Arial" w:cs="Arial" w:eastAsia="Arial" w:hAnsi="Arial"/>
                <w:sz w:val="16"/>
                <w:szCs w:val="16"/>
                <w:b w:val="1"/>
                <w:bCs w:val="1"/>
                <w:color w:val="auto"/>
                <w:w w:val="93"/>
              </w:rPr>
              <w:t>Delaware</w:t>
            </w:r>
          </w:p>
        </w:tc>
        <w:tc>
          <w:tcPr>
            <w:tcW w:w="3780" w:type="dxa"/>
            <w:vAlign w:val="bottom"/>
          </w:tcPr>
          <w:p>
            <w:pPr>
              <w:jc w:val="center"/>
              <w:spacing w:after="0"/>
              <w:rPr>
                <w:sz w:val="20"/>
                <w:szCs w:val="20"/>
                <w:color w:val="auto"/>
              </w:rPr>
            </w:pPr>
            <w:r>
              <w:rPr>
                <w:rFonts w:ascii="Arial" w:cs="Arial" w:eastAsia="Arial" w:hAnsi="Arial"/>
                <w:sz w:val="16"/>
                <w:szCs w:val="16"/>
                <w:b w:val="1"/>
                <w:bCs w:val="1"/>
                <w:color w:val="auto"/>
                <w:w w:val="89"/>
              </w:rPr>
              <w:t>7372</w:t>
            </w:r>
          </w:p>
        </w:tc>
        <w:tc>
          <w:tcPr>
            <w:tcW w:w="2460" w:type="dxa"/>
            <w:vAlign w:val="bottom"/>
          </w:tcPr>
          <w:p>
            <w:pPr>
              <w:jc w:val="center"/>
              <w:ind w:left="879"/>
              <w:spacing w:after="0"/>
              <w:rPr>
                <w:sz w:val="20"/>
                <w:szCs w:val="20"/>
                <w:color w:val="auto"/>
              </w:rPr>
            </w:pPr>
            <w:r>
              <w:rPr>
                <w:rFonts w:ascii="Arial" w:cs="Arial" w:eastAsia="Arial" w:hAnsi="Arial"/>
                <w:sz w:val="16"/>
                <w:szCs w:val="16"/>
                <w:b w:val="1"/>
                <w:bCs w:val="1"/>
                <w:color w:val="auto"/>
                <w:w w:val="91"/>
              </w:rPr>
              <w:t>46-4353148</w:t>
            </w:r>
          </w:p>
        </w:tc>
      </w:tr>
      <w:tr>
        <w:trPr>
          <w:trHeight w:val="203"/>
        </w:trPr>
        <w:tc>
          <w:tcPr>
            <w:tcW w:w="2900" w:type="dxa"/>
            <w:vAlign w:val="bottom"/>
          </w:tcPr>
          <w:p>
            <w:pPr>
              <w:jc w:val="center"/>
              <w:ind w:right="799"/>
              <w:spacing w:after="0"/>
              <w:rPr>
                <w:sz w:val="20"/>
                <w:szCs w:val="20"/>
                <w:color w:val="auto"/>
              </w:rPr>
            </w:pPr>
            <w:r>
              <w:rPr>
                <w:rFonts w:ascii="Arial" w:cs="Arial" w:eastAsia="Arial" w:hAnsi="Arial"/>
                <w:sz w:val="16"/>
                <w:szCs w:val="16"/>
                <w:i w:val="1"/>
                <w:iCs w:val="1"/>
                <w:color w:val="auto"/>
                <w:w w:val="94"/>
              </w:rPr>
              <w:t>(State or other jurisdiction of</w:t>
            </w:r>
          </w:p>
        </w:tc>
        <w:tc>
          <w:tcPr>
            <w:tcW w:w="3780" w:type="dxa"/>
            <w:vAlign w:val="bottom"/>
          </w:tcPr>
          <w:p>
            <w:pPr>
              <w:jc w:val="center"/>
              <w:spacing w:after="0"/>
              <w:rPr>
                <w:sz w:val="20"/>
                <w:szCs w:val="20"/>
                <w:color w:val="auto"/>
              </w:rPr>
            </w:pPr>
            <w:r>
              <w:rPr>
                <w:rFonts w:ascii="Arial" w:cs="Arial" w:eastAsia="Arial" w:hAnsi="Arial"/>
                <w:sz w:val="16"/>
                <w:szCs w:val="16"/>
                <w:i w:val="1"/>
                <w:iCs w:val="1"/>
                <w:color w:val="auto"/>
                <w:w w:val="95"/>
              </w:rPr>
              <w:t>(Primary Standard Industrial</w:t>
            </w:r>
          </w:p>
        </w:tc>
        <w:tc>
          <w:tcPr>
            <w:tcW w:w="2460" w:type="dxa"/>
            <w:vAlign w:val="bottom"/>
          </w:tcPr>
          <w:p>
            <w:pPr>
              <w:jc w:val="center"/>
              <w:ind w:left="899"/>
              <w:spacing w:after="0"/>
              <w:rPr>
                <w:sz w:val="20"/>
                <w:szCs w:val="20"/>
                <w:color w:val="auto"/>
              </w:rPr>
            </w:pPr>
            <w:r>
              <w:rPr>
                <w:rFonts w:ascii="Arial" w:cs="Arial" w:eastAsia="Arial" w:hAnsi="Arial"/>
                <w:sz w:val="16"/>
                <w:szCs w:val="16"/>
                <w:i w:val="1"/>
                <w:iCs w:val="1"/>
                <w:color w:val="auto"/>
                <w:w w:val="91"/>
              </w:rPr>
              <w:t>(I.R.S. Employer</w:t>
            </w:r>
          </w:p>
        </w:tc>
      </w:tr>
      <w:tr>
        <w:trPr>
          <w:trHeight w:val="206"/>
        </w:trPr>
        <w:tc>
          <w:tcPr>
            <w:tcW w:w="2900" w:type="dxa"/>
            <w:vAlign w:val="bottom"/>
          </w:tcPr>
          <w:p>
            <w:pPr>
              <w:jc w:val="center"/>
              <w:ind w:right="819"/>
              <w:spacing w:after="0"/>
              <w:rPr>
                <w:sz w:val="20"/>
                <w:szCs w:val="20"/>
                <w:color w:val="auto"/>
              </w:rPr>
            </w:pPr>
            <w:r>
              <w:rPr>
                <w:rFonts w:ascii="Arial" w:cs="Arial" w:eastAsia="Arial" w:hAnsi="Arial"/>
                <w:sz w:val="16"/>
                <w:szCs w:val="16"/>
                <w:i w:val="1"/>
                <w:iCs w:val="1"/>
                <w:color w:val="auto"/>
                <w:w w:val="96"/>
              </w:rPr>
              <w:t>incorporation or organization)</w:t>
            </w:r>
          </w:p>
        </w:tc>
        <w:tc>
          <w:tcPr>
            <w:tcW w:w="3780" w:type="dxa"/>
            <w:vAlign w:val="bottom"/>
          </w:tcPr>
          <w:p>
            <w:pPr>
              <w:jc w:val="center"/>
              <w:spacing w:after="0"/>
              <w:rPr>
                <w:sz w:val="20"/>
                <w:szCs w:val="20"/>
                <w:color w:val="auto"/>
              </w:rPr>
            </w:pPr>
            <w:r>
              <w:rPr>
                <w:rFonts w:ascii="Arial" w:cs="Arial" w:eastAsia="Arial" w:hAnsi="Arial"/>
                <w:sz w:val="16"/>
                <w:szCs w:val="16"/>
                <w:i w:val="1"/>
                <w:iCs w:val="1"/>
                <w:color w:val="auto"/>
                <w:w w:val="93"/>
              </w:rPr>
              <w:t>Classification Code Number)</w:t>
            </w:r>
          </w:p>
        </w:tc>
        <w:tc>
          <w:tcPr>
            <w:tcW w:w="2460" w:type="dxa"/>
            <w:vAlign w:val="bottom"/>
          </w:tcPr>
          <w:p>
            <w:pPr>
              <w:jc w:val="center"/>
              <w:ind w:left="879"/>
              <w:spacing w:after="0"/>
              <w:rPr>
                <w:sz w:val="20"/>
                <w:szCs w:val="20"/>
                <w:color w:val="auto"/>
              </w:rPr>
            </w:pPr>
            <w:r>
              <w:rPr>
                <w:rFonts w:ascii="Arial" w:cs="Arial" w:eastAsia="Arial" w:hAnsi="Arial"/>
                <w:sz w:val="16"/>
                <w:szCs w:val="16"/>
                <w:i w:val="1"/>
                <w:iCs w:val="1"/>
                <w:color w:val="auto"/>
                <w:w w:val="95"/>
              </w:rPr>
              <w:t>Identification Number)</w:t>
            </w:r>
          </w:p>
        </w:tc>
      </w:tr>
    </w:tbl>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6770 Parker Farm Drive</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Wilmington, North Carolina 28405</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(888) 676-2466</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Pierre Naudé</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nCino, Inc.</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6770 Parker Farm Drive</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Wilmington, North Carolina 28405</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(888) 676-2466</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9" w:lineRule="exact"/>
        <w:rPr>
          <w:sz w:val="24"/>
          <w:szCs w:val="24"/>
          <w:color w:val="auto"/>
        </w:rPr>
      </w:pPr>
    </w:p>
    <w:tbl>
      <w:tblPr>
        <w:tblLayout w:type="fixed"/>
        <w:tblInd w:w="104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3920" w:type="dxa"/>
            <w:vAlign w:val="bottom"/>
          </w:tcPr>
          <w:p>
            <w:pPr>
              <w:ind w:left="1580"/>
              <w:spacing w:after="0"/>
              <w:rPr>
                <w:sz w:val="20"/>
                <w:szCs w:val="20"/>
                <w:color w:val="auto"/>
              </w:rPr>
            </w:pPr>
            <w:r>
              <w:rPr>
                <w:rFonts w:ascii="Arial" w:cs="Arial" w:eastAsia="Arial" w:hAnsi="Arial"/>
                <w:sz w:val="14"/>
                <w:szCs w:val="14"/>
                <w:b w:val="1"/>
                <w:bCs w:val="1"/>
                <w:i w:val="1"/>
                <w:iCs w:val="1"/>
                <w:color w:val="auto"/>
              </w:rPr>
              <w:t>Copies to:</w:t>
            </w:r>
          </w:p>
        </w:tc>
        <w:tc>
          <w:tcPr>
            <w:tcW w:w="2700" w:type="dxa"/>
            <w:vAlign w:val="bottom"/>
          </w:tcPr>
          <w:p>
            <w:pPr>
              <w:spacing w:after="0"/>
              <w:rPr>
                <w:sz w:val="15"/>
                <w:szCs w:val="15"/>
                <w:color w:val="auto"/>
              </w:rPr>
            </w:pPr>
          </w:p>
        </w:tc>
      </w:tr>
      <w:tr>
        <w:trPr>
          <w:trHeight w:val="207"/>
        </w:trPr>
        <w:tc>
          <w:tcPr>
            <w:tcW w:w="2700" w:type="dxa"/>
            <w:vAlign w:val="bottom"/>
          </w:tcPr>
          <w:p>
            <w:pPr>
              <w:jc w:val="center"/>
              <w:ind w:right="719"/>
              <w:spacing w:after="0"/>
              <w:rPr>
                <w:sz w:val="20"/>
                <w:szCs w:val="20"/>
                <w:color w:val="auto"/>
              </w:rPr>
            </w:pPr>
            <w:r>
              <w:rPr>
                <w:rFonts w:ascii="Arial" w:cs="Arial" w:eastAsia="Arial" w:hAnsi="Arial"/>
                <w:sz w:val="16"/>
                <w:szCs w:val="16"/>
                <w:b w:val="1"/>
                <w:bCs w:val="1"/>
                <w:color w:val="auto"/>
                <w:w w:val="96"/>
              </w:rPr>
              <w:t>Martin A. Wellington</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2"/>
              </w:rPr>
              <w:t>Gregory D. Orenstein</w:t>
            </w:r>
          </w:p>
        </w:tc>
        <w:tc>
          <w:tcPr>
            <w:tcW w:w="2700" w:type="dxa"/>
            <w:vAlign w:val="bottom"/>
          </w:tcPr>
          <w:p>
            <w:pPr>
              <w:jc w:val="center"/>
              <w:ind w:left="639"/>
              <w:spacing w:after="0"/>
              <w:rPr>
                <w:sz w:val="20"/>
                <w:szCs w:val="20"/>
                <w:color w:val="auto"/>
              </w:rPr>
            </w:pPr>
            <w:r>
              <w:rPr>
                <w:rFonts w:ascii="Arial" w:cs="Arial" w:eastAsia="Arial" w:hAnsi="Arial"/>
                <w:sz w:val="16"/>
                <w:szCs w:val="16"/>
                <w:b w:val="1"/>
                <w:bCs w:val="1"/>
                <w:color w:val="auto"/>
                <w:w w:val="94"/>
              </w:rPr>
              <w:t>Paul D. Tropp</w:t>
            </w:r>
          </w:p>
        </w:tc>
      </w:tr>
      <w:tr>
        <w:trPr>
          <w:trHeight w:val="203"/>
        </w:trPr>
        <w:tc>
          <w:tcPr>
            <w:tcW w:w="2700" w:type="dxa"/>
            <w:vAlign w:val="bottom"/>
          </w:tcPr>
          <w:p>
            <w:pPr>
              <w:jc w:val="center"/>
              <w:ind w:right="739"/>
              <w:spacing w:after="0"/>
              <w:rPr>
                <w:sz w:val="20"/>
                <w:szCs w:val="20"/>
                <w:color w:val="auto"/>
              </w:rPr>
            </w:pPr>
            <w:r>
              <w:rPr>
                <w:rFonts w:ascii="Arial" w:cs="Arial" w:eastAsia="Arial" w:hAnsi="Arial"/>
                <w:sz w:val="16"/>
                <w:szCs w:val="16"/>
                <w:b w:val="1"/>
                <w:bCs w:val="1"/>
                <w:color w:val="auto"/>
                <w:w w:val="93"/>
              </w:rPr>
              <w:t>Robert A. Ryan</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4"/>
              </w:rPr>
              <w:t>Chief Corporate Development &amp;</w:t>
            </w:r>
          </w:p>
        </w:tc>
        <w:tc>
          <w:tcPr>
            <w:tcW w:w="2700" w:type="dxa"/>
            <w:vAlign w:val="bottom"/>
          </w:tcPr>
          <w:p>
            <w:pPr>
              <w:jc w:val="center"/>
              <w:ind w:left="659"/>
              <w:spacing w:after="0"/>
              <w:rPr>
                <w:sz w:val="20"/>
                <w:szCs w:val="20"/>
                <w:color w:val="auto"/>
              </w:rPr>
            </w:pPr>
            <w:r>
              <w:rPr>
                <w:rFonts w:ascii="Arial" w:cs="Arial" w:eastAsia="Arial" w:hAnsi="Arial"/>
                <w:sz w:val="16"/>
                <w:szCs w:val="16"/>
                <w:b w:val="1"/>
                <w:bCs w:val="1"/>
                <w:color w:val="auto"/>
                <w:w w:val="92"/>
              </w:rPr>
              <w:t>Michael S. Pilo</w:t>
            </w:r>
          </w:p>
        </w:tc>
      </w:tr>
      <w:tr>
        <w:trPr>
          <w:trHeight w:val="203"/>
        </w:trPr>
        <w:tc>
          <w:tcPr>
            <w:tcW w:w="2700" w:type="dxa"/>
            <w:vAlign w:val="bottom"/>
          </w:tcPr>
          <w:p>
            <w:pPr>
              <w:jc w:val="center"/>
              <w:ind w:right="719"/>
              <w:spacing w:after="0"/>
              <w:rPr>
                <w:sz w:val="20"/>
                <w:szCs w:val="20"/>
                <w:color w:val="auto"/>
              </w:rPr>
            </w:pPr>
            <w:r>
              <w:rPr>
                <w:rFonts w:ascii="Arial" w:cs="Arial" w:eastAsia="Arial" w:hAnsi="Arial"/>
                <w:sz w:val="16"/>
                <w:szCs w:val="16"/>
                <w:b w:val="1"/>
                <w:bCs w:val="1"/>
                <w:color w:val="auto"/>
                <w:w w:val="92"/>
              </w:rPr>
              <w:t>Sidley Austin LLP</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2"/>
              </w:rPr>
              <w:t>Legal Officer and Secretary</w:t>
            </w:r>
          </w:p>
        </w:tc>
        <w:tc>
          <w:tcPr>
            <w:tcW w:w="2700" w:type="dxa"/>
            <w:vAlign w:val="bottom"/>
          </w:tcPr>
          <w:p>
            <w:pPr>
              <w:jc w:val="center"/>
              <w:ind w:left="639"/>
              <w:spacing w:after="0"/>
              <w:rPr>
                <w:sz w:val="20"/>
                <w:szCs w:val="20"/>
                <w:color w:val="auto"/>
              </w:rPr>
            </w:pPr>
            <w:r>
              <w:rPr>
                <w:rFonts w:ascii="Arial" w:cs="Arial" w:eastAsia="Arial" w:hAnsi="Arial"/>
                <w:sz w:val="16"/>
                <w:szCs w:val="16"/>
                <w:b w:val="1"/>
                <w:bCs w:val="1"/>
                <w:color w:val="auto"/>
                <w:w w:val="95"/>
              </w:rPr>
              <w:t>Ropes &amp; Gray LLP</w:t>
            </w:r>
          </w:p>
        </w:tc>
      </w:tr>
      <w:tr>
        <w:trPr>
          <w:trHeight w:val="203"/>
        </w:trPr>
        <w:tc>
          <w:tcPr>
            <w:tcW w:w="2700" w:type="dxa"/>
            <w:vAlign w:val="bottom"/>
          </w:tcPr>
          <w:p>
            <w:pPr>
              <w:jc w:val="center"/>
              <w:ind w:right="719"/>
              <w:spacing w:after="0"/>
              <w:rPr>
                <w:sz w:val="20"/>
                <w:szCs w:val="20"/>
                <w:color w:val="auto"/>
              </w:rPr>
            </w:pPr>
            <w:r>
              <w:rPr>
                <w:rFonts w:ascii="Arial" w:cs="Arial" w:eastAsia="Arial" w:hAnsi="Arial"/>
                <w:sz w:val="16"/>
                <w:szCs w:val="16"/>
                <w:b w:val="1"/>
                <w:bCs w:val="1"/>
                <w:color w:val="auto"/>
                <w:w w:val="88"/>
              </w:rPr>
              <w:t>787 Seventh Avenue</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2"/>
              </w:rPr>
              <w:t>nCino, Inc.</w:t>
            </w:r>
          </w:p>
        </w:tc>
        <w:tc>
          <w:tcPr>
            <w:tcW w:w="2700" w:type="dxa"/>
            <w:vAlign w:val="bottom"/>
          </w:tcPr>
          <w:p>
            <w:pPr>
              <w:jc w:val="center"/>
              <w:ind w:left="639"/>
              <w:spacing w:after="0"/>
              <w:rPr>
                <w:sz w:val="20"/>
                <w:szCs w:val="20"/>
                <w:color w:val="auto"/>
              </w:rPr>
            </w:pPr>
            <w:r>
              <w:rPr>
                <w:rFonts w:ascii="Arial" w:cs="Arial" w:eastAsia="Arial" w:hAnsi="Arial"/>
                <w:sz w:val="16"/>
                <w:szCs w:val="16"/>
                <w:b w:val="1"/>
                <w:bCs w:val="1"/>
                <w:color w:val="auto"/>
                <w:w w:val="89"/>
              </w:rPr>
              <w:t>1211 Avenue of the Americas</w:t>
            </w:r>
          </w:p>
        </w:tc>
      </w:tr>
      <w:tr>
        <w:trPr>
          <w:trHeight w:val="203"/>
        </w:trPr>
        <w:tc>
          <w:tcPr>
            <w:tcW w:w="2700" w:type="dxa"/>
            <w:vAlign w:val="bottom"/>
          </w:tcPr>
          <w:p>
            <w:pPr>
              <w:jc w:val="center"/>
              <w:ind w:right="719"/>
              <w:spacing w:after="0"/>
              <w:rPr>
                <w:sz w:val="20"/>
                <w:szCs w:val="20"/>
                <w:color w:val="auto"/>
              </w:rPr>
            </w:pPr>
            <w:r>
              <w:rPr>
                <w:rFonts w:ascii="Arial" w:cs="Arial" w:eastAsia="Arial" w:hAnsi="Arial"/>
                <w:sz w:val="16"/>
                <w:szCs w:val="16"/>
                <w:b w:val="1"/>
                <w:bCs w:val="1"/>
                <w:color w:val="auto"/>
                <w:w w:val="93"/>
              </w:rPr>
              <w:t>New York, New York 10019</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5"/>
              </w:rPr>
              <w:t>6770 Parker Farm Drive</w:t>
            </w:r>
          </w:p>
        </w:tc>
        <w:tc>
          <w:tcPr>
            <w:tcW w:w="2700" w:type="dxa"/>
            <w:vAlign w:val="bottom"/>
          </w:tcPr>
          <w:p>
            <w:pPr>
              <w:jc w:val="center"/>
              <w:ind w:left="639"/>
              <w:spacing w:after="0"/>
              <w:rPr>
                <w:sz w:val="20"/>
                <w:szCs w:val="20"/>
                <w:color w:val="auto"/>
              </w:rPr>
            </w:pPr>
            <w:r>
              <w:rPr>
                <w:rFonts w:ascii="Arial" w:cs="Arial" w:eastAsia="Arial" w:hAnsi="Arial"/>
                <w:sz w:val="16"/>
                <w:szCs w:val="16"/>
                <w:b w:val="1"/>
                <w:bCs w:val="1"/>
                <w:color w:val="auto"/>
                <w:w w:val="93"/>
              </w:rPr>
              <w:t>New York, New York 10036</w:t>
            </w:r>
          </w:p>
        </w:tc>
      </w:tr>
      <w:tr>
        <w:trPr>
          <w:trHeight w:val="203"/>
        </w:trPr>
        <w:tc>
          <w:tcPr>
            <w:tcW w:w="2700" w:type="dxa"/>
            <w:vAlign w:val="bottom"/>
          </w:tcPr>
          <w:p>
            <w:pPr>
              <w:jc w:val="center"/>
              <w:ind w:right="719"/>
              <w:spacing w:after="0"/>
              <w:rPr>
                <w:sz w:val="20"/>
                <w:szCs w:val="20"/>
                <w:color w:val="auto"/>
              </w:rPr>
            </w:pPr>
            <w:r>
              <w:rPr>
                <w:rFonts w:ascii="Arial" w:cs="Arial" w:eastAsia="Arial" w:hAnsi="Arial"/>
                <w:sz w:val="16"/>
                <w:szCs w:val="16"/>
                <w:b w:val="1"/>
                <w:bCs w:val="1"/>
                <w:color w:val="auto"/>
                <w:w w:val="93"/>
              </w:rPr>
              <w:t>(212) 839-5300</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3"/>
              </w:rPr>
              <w:t>Wilmington, North Carolina 28405</w:t>
            </w:r>
          </w:p>
        </w:tc>
        <w:tc>
          <w:tcPr>
            <w:tcW w:w="2700" w:type="dxa"/>
            <w:vAlign w:val="bottom"/>
          </w:tcPr>
          <w:p>
            <w:pPr>
              <w:jc w:val="center"/>
              <w:ind w:left="639"/>
              <w:spacing w:after="0"/>
              <w:rPr>
                <w:sz w:val="20"/>
                <w:szCs w:val="20"/>
                <w:color w:val="auto"/>
              </w:rPr>
            </w:pPr>
            <w:r>
              <w:rPr>
                <w:rFonts w:ascii="Arial" w:cs="Arial" w:eastAsia="Arial" w:hAnsi="Arial"/>
                <w:sz w:val="16"/>
                <w:szCs w:val="16"/>
                <w:b w:val="1"/>
                <w:bCs w:val="1"/>
                <w:color w:val="auto"/>
                <w:w w:val="93"/>
              </w:rPr>
              <w:t>(212) 596-9000</w:t>
            </w:r>
          </w:p>
        </w:tc>
      </w:tr>
      <w:tr>
        <w:trPr>
          <w:trHeight w:val="210"/>
        </w:trPr>
        <w:tc>
          <w:tcPr>
            <w:tcW w:w="270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1"/>
              </w:rPr>
              <w:t>(888) 676-2466</w:t>
            </w:r>
          </w:p>
        </w:tc>
        <w:tc>
          <w:tcPr>
            <w:tcW w:w="2700" w:type="dxa"/>
            <w:vAlign w:val="bottom"/>
          </w:tcPr>
          <w:p>
            <w:pPr>
              <w:spacing w:after="0"/>
              <w:rPr>
                <w:sz w:val="18"/>
                <w:szCs w:val="18"/>
                <w:color w:val="auto"/>
              </w:rPr>
            </w:pPr>
          </w:p>
        </w:tc>
      </w:tr>
    </w:tbl>
    <w:p>
      <w:pPr>
        <w:spacing w:after="0" w:line="37" w:lineRule="exact"/>
        <w:rPr>
          <w:sz w:val="24"/>
          <w:szCs w:val="24"/>
          <w:color w:val="auto"/>
        </w:rPr>
      </w:pPr>
    </w:p>
    <w:p>
      <w:pPr>
        <w:ind w:left="100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of this Registration Statement.</w:t>
      </w:r>
    </w:p>
    <w:p>
      <w:pPr>
        <w:spacing w:after="0" w:line="32" w:lineRule="exact"/>
        <w:rPr>
          <w:sz w:val="24"/>
          <w:szCs w:val="24"/>
          <w:color w:val="auto"/>
        </w:rPr>
      </w:pPr>
    </w:p>
    <w:p>
      <w:pPr>
        <w:ind w:left="120" w:right="480" w:firstLine="88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40" w:firstLine="881"/>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320" w:firstLine="88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300" w:firstLine="88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400" w:firstLine="881"/>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174"/>
        </w:trPr>
        <w:tc>
          <w:tcPr>
            <w:tcW w:w="23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4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36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340" w:type="dxa"/>
            <w:vAlign w:val="bottom"/>
          </w:tcPr>
          <w:p>
            <w:pPr>
              <w:spacing w:after="0"/>
              <w:rPr>
                <w:sz w:val="20"/>
                <w:szCs w:val="20"/>
                <w:color w:val="auto"/>
              </w:rPr>
            </w:pPr>
            <w:r>
              <w:rPr>
                <w:rFonts w:ascii="Arial" w:cs="Arial" w:eastAsia="Arial" w:hAnsi="Arial"/>
                <w:sz w:val="14"/>
                <w:szCs w:val="14"/>
                <w:color w:val="auto"/>
              </w:rPr>
              <w:t>Non-accelerated filer</w:t>
            </w:r>
          </w:p>
        </w:tc>
        <w:tc>
          <w:tcPr>
            <w:tcW w:w="324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36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3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4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ind w:left="120" w:right="140" w:firstLine="88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CALCULATION OF REGISTRATION FEE</w:t>
      </w:r>
    </w:p>
    <w:p>
      <w:pPr>
        <w:spacing w:after="0" w:line="2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596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596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jc w:val="center"/>
              <w:ind w:left="17"/>
              <w:spacing w:after="0" w:line="98" w:lineRule="exact"/>
              <w:rPr>
                <w:sz w:val="20"/>
                <w:szCs w:val="20"/>
                <w:color w:val="auto"/>
              </w:rPr>
            </w:pPr>
            <w:r>
              <w:rPr>
                <w:rFonts w:ascii="Arial" w:cs="Arial" w:eastAsia="Arial" w:hAnsi="Arial"/>
                <w:sz w:val="10"/>
                <w:szCs w:val="10"/>
                <w:b w:val="1"/>
                <w:bCs w:val="1"/>
                <w:color w:val="auto"/>
              </w:rPr>
              <w:t>Proposed Maximum</w:t>
            </w:r>
          </w:p>
        </w:tc>
        <w:tc>
          <w:tcPr>
            <w:tcW w:w="1440" w:type="dxa"/>
            <w:vAlign w:val="bottom"/>
            <w:tcBorders>
              <w:right w:val="single" w:sz="8" w:color="auto"/>
            </w:tcBorders>
          </w:tcPr>
          <w:p>
            <w:pPr>
              <w:jc w:val="center"/>
              <w:ind w:left="37"/>
              <w:spacing w:after="0" w:line="98" w:lineRule="exact"/>
              <w:rPr>
                <w:sz w:val="20"/>
                <w:szCs w:val="20"/>
                <w:color w:val="auto"/>
              </w:rPr>
            </w:pPr>
            <w:r>
              <w:rPr>
                <w:rFonts w:ascii="Arial" w:cs="Arial" w:eastAsia="Arial" w:hAnsi="Arial"/>
                <w:sz w:val="10"/>
                <w:szCs w:val="10"/>
                <w:b w:val="1"/>
                <w:bCs w:val="1"/>
                <w:color w:val="auto"/>
              </w:rPr>
              <w:t>Proposed</w:t>
            </w:r>
          </w:p>
        </w:tc>
        <w:tc>
          <w:tcPr>
            <w:tcW w:w="1200" w:type="dxa"/>
            <w:vAlign w:val="bottom"/>
            <w:vMerge w:val="restart"/>
          </w:tcPr>
          <w:p>
            <w:pPr>
              <w:jc w:val="center"/>
              <w:ind w:left="34"/>
              <w:spacing w:after="0"/>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26"/>
        </w:trPr>
        <w:tc>
          <w:tcPr>
            <w:tcW w:w="59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6"/>
              </w:rPr>
              <w:t>Title of Each Class of</w:t>
            </w:r>
          </w:p>
        </w:tc>
        <w:tc>
          <w:tcPr>
            <w:tcW w:w="10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8"/>
              </w:rPr>
              <w:t>Amount to be</w:t>
            </w:r>
          </w:p>
        </w:tc>
        <w:tc>
          <w:tcPr>
            <w:tcW w:w="1420" w:type="dxa"/>
            <w:vAlign w:val="bottom"/>
            <w:tcBorders>
              <w:right w:val="single" w:sz="8" w:color="auto"/>
            </w:tcBorders>
          </w:tcPr>
          <w:p>
            <w:pPr>
              <w:jc w:val="center"/>
              <w:ind w:left="17"/>
              <w:spacing w:after="0" w:line="126" w:lineRule="exact"/>
              <w:rPr>
                <w:sz w:val="20"/>
                <w:szCs w:val="20"/>
                <w:color w:val="auto"/>
              </w:rPr>
            </w:pPr>
            <w:r>
              <w:rPr>
                <w:rFonts w:ascii="Arial" w:cs="Arial" w:eastAsia="Arial" w:hAnsi="Arial"/>
                <w:sz w:val="13"/>
                <w:szCs w:val="13"/>
                <w:b w:val="1"/>
                <w:bCs w:val="1"/>
                <w:color w:val="auto"/>
                <w:w w:val="90"/>
              </w:rPr>
              <w:t>Offering</w:t>
            </w:r>
          </w:p>
        </w:tc>
        <w:tc>
          <w:tcPr>
            <w:tcW w:w="1440" w:type="dxa"/>
            <w:vAlign w:val="bottom"/>
            <w:tcBorders>
              <w:right w:val="single" w:sz="8" w:color="auto"/>
            </w:tcBorders>
          </w:tcPr>
          <w:p>
            <w:pPr>
              <w:jc w:val="center"/>
              <w:ind w:left="17"/>
              <w:spacing w:after="0" w:line="126" w:lineRule="exact"/>
              <w:rPr>
                <w:sz w:val="20"/>
                <w:szCs w:val="20"/>
                <w:color w:val="auto"/>
              </w:rPr>
            </w:pPr>
            <w:r>
              <w:rPr>
                <w:rFonts w:ascii="Arial" w:cs="Arial" w:eastAsia="Arial" w:hAnsi="Arial"/>
                <w:sz w:val="13"/>
                <w:szCs w:val="13"/>
                <w:b w:val="1"/>
                <w:bCs w:val="1"/>
                <w:color w:val="auto"/>
                <w:w w:val="87"/>
              </w:rPr>
              <w:t>Maximum Aggregate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Registered</w:t>
            </w:r>
            <w:r>
              <w:rPr>
                <w:rFonts w:ascii="Arial" w:cs="Arial" w:eastAsia="Arial" w:hAnsi="Arial"/>
                <w:sz w:val="10"/>
                <w:szCs w:val="10"/>
                <w:b w:val="1"/>
                <w:bCs w:val="1"/>
                <w:color w:val="auto"/>
                <w:w w:val="89"/>
              </w:rPr>
              <w:t>(1)(2)</w:t>
            </w:r>
          </w:p>
        </w:tc>
        <w:tc>
          <w:tcPr>
            <w:tcW w:w="142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0"/>
              </w:rPr>
              <w:t>Price Per Share</w:t>
            </w:r>
            <w:r>
              <w:rPr>
                <w:rFonts w:ascii="Arial" w:cs="Arial" w:eastAsia="Arial" w:hAnsi="Arial"/>
                <w:sz w:val="10"/>
                <w:szCs w:val="10"/>
                <w:b w:val="1"/>
                <w:bCs w:val="1"/>
                <w:color w:val="auto"/>
                <w:w w:val="90"/>
              </w:rPr>
              <w:t>(3)</w:t>
            </w:r>
          </w:p>
        </w:tc>
        <w:tc>
          <w:tcPr>
            <w:tcW w:w="1440" w:type="dxa"/>
            <w:vAlign w:val="bottom"/>
            <w:tcBorders>
              <w:bottom w:val="single" w:sz="8" w:color="auto"/>
              <w:right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10"/>
                <w:szCs w:val="10"/>
                <w:b w:val="1"/>
                <w:bCs w:val="1"/>
                <w:color w:val="auto"/>
                <w:w w:val="91"/>
              </w:rPr>
              <w:t>(2)</w:t>
            </w:r>
          </w:p>
        </w:tc>
        <w:tc>
          <w:tcPr>
            <w:tcW w:w="120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$0.0005 per share</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6,325,000</w:t>
            </w:r>
          </w:p>
        </w:tc>
        <w:tc>
          <w:tcPr>
            <w:tcW w:w="1420" w:type="dxa"/>
            <w:vAlign w:val="bottom"/>
            <w:tcBorders>
              <w:bottom w:val="single" w:sz="8" w:color="auto"/>
              <w:right w:val="single" w:sz="8" w:color="auto"/>
            </w:tcBorders>
          </w:tcPr>
          <w:p>
            <w:pPr>
              <w:jc w:val="center"/>
              <w:ind w:left="17"/>
              <w:spacing w:after="0" w:line="142" w:lineRule="exact"/>
              <w:rPr>
                <w:sz w:val="20"/>
                <w:szCs w:val="20"/>
                <w:color w:val="auto"/>
              </w:rPr>
            </w:pPr>
            <w:r>
              <w:rPr>
                <w:rFonts w:ascii="Arial" w:cs="Arial" w:eastAsia="Arial" w:hAnsi="Arial"/>
                <w:sz w:val="14"/>
                <w:szCs w:val="14"/>
                <w:color w:val="auto"/>
                <w:w w:val="88"/>
              </w:rPr>
              <w:t>$79.00</w:t>
            </w:r>
          </w:p>
        </w:tc>
        <w:tc>
          <w:tcPr>
            <w:tcW w:w="1440" w:type="dxa"/>
            <w:vAlign w:val="bottom"/>
            <w:tcBorders>
              <w:bottom w:val="single" w:sz="8" w:color="auto"/>
              <w:right w:val="single" w:sz="8" w:color="auto"/>
            </w:tcBorders>
          </w:tcPr>
          <w:p>
            <w:pPr>
              <w:jc w:val="center"/>
              <w:ind w:left="17"/>
              <w:spacing w:after="0" w:line="142" w:lineRule="exact"/>
              <w:rPr>
                <w:sz w:val="20"/>
                <w:szCs w:val="20"/>
                <w:color w:val="auto"/>
              </w:rPr>
            </w:pPr>
            <w:r>
              <w:rPr>
                <w:rFonts w:ascii="Arial" w:cs="Arial" w:eastAsia="Arial" w:hAnsi="Arial"/>
                <w:sz w:val="14"/>
                <w:szCs w:val="14"/>
                <w:color w:val="auto"/>
                <w:w w:val="93"/>
              </w:rPr>
              <w:t>$499,675,000</w:t>
            </w:r>
          </w:p>
        </w:tc>
        <w:tc>
          <w:tcPr>
            <w:tcW w:w="1200" w:type="dxa"/>
            <w:vAlign w:val="bottom"/>
            <w:tcBorders>
              <w:bottom w:val="single" w:sz="8" w:color="auto"/>
            </w:tcBorders>
          </w:tcPr>
          <w:p>
            <w:pPr>
              <w:jc w:val="center"/>
              <w:ind w:left="34"/>
              <w:spacing w:after="0" w:line="142" w:lineRule="exact"/>
              <w:rPr>
                <w:sz w:val="20"/>
                <w:szCs w:val="20"/>
                <w:color w:val="auto"/>
              </w:rPr>
            </w:pPr>
            <w:r>
              <w:rPr>
                <w:rFonts w:ascii="Arial" w:cs="Arial" w:eastAsia="Arial" w:hAnsi="Arial"/>
                <w:sz w:val="14"/>
                <w:szCs w:val="14"/>
                <w:color w:val="auto"/>
                <w:w w:val="90"/>
              </w:rPr>
              <w:t>$54,515</w:t>
            </w:r>
          </w:p>
        </w:tc>
        <w:tc>
          <w:tcPr>
            <w:tcW w:w="0" w:type="dxa"/>
            <w:vAlign w:val="bottom"/>
          </w:tcPr>
          <w:p>
            <w:pPr>
              <w:spacing w:after="0"/>
              <w:rPr>
                <w:sz w:val="1"/>
                <w:szCs w:val="1"/>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4"/>
          <w:szCs w:val="14"/>
          <w:color w:val="auto"/>
        </w:rPr>
        <w:t>Includes an additional 825,000 shares of the Registrant’s common stock that the underwriters have the option to purchase.</w:t>
      </w:r>
    </w:p>
    <w:p>
      <w:pPr>
        <w:ind w:left="540" w:right="180" w:hanging="424"/>
        <w:spacing w:after="0" w:line="221"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4"/>
          <w:szCs w:val="14"/>
          <w:color w:val="auto"/>
        </w:rPr>
        <w:t>Includes an aggregate of 554,112 shares of common stock underlying vested stock options held by certain employees of the Registrant that are selling stockholders, upon exercise of options.</w:t>
      </w:r>
    </w:p>
    <w:p>
      <w:pPr>
        <w:ind w:left="540" w:right="80" w:hanging="424"/>
        <w:spacing w:after="0" w:line="237"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4"/>
          <w:szCs w:val="14"/>
          <w:color w:val="auto"/>
        </w:rPr>
        <w:t>Estimated solely for the purpose of calculating the registration fee in accordance with Rule 457(c) of the Securities Act of 1933, as amended, based on the average of the high and low sales prices of the Registrant’s Common Stock as reported by the Nasdaq Global Select Market on October 1, 2020.</w:t>
      </w:r>
    </w:p>
    <w:p>
      <w:pPr>
        <w:spacing w:after="0" w:line="1" w:lineRule="exact"/>
        <w:rPr>
          <w:sz w:val="24"/>
          <w:szCs w:val="24"/>
          <w:color w:val="auto"/>
        </w:rPr>
      </w:pPr>
    </w:p>
    <w:p>
      <w:pPr>
        <w:ind w:left="120" w:right="20" w:firstLine="881"/>
        <w:spacing w:after="0" w:line="25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140"/>
          </w:cols>
          <w:pgMar w:left="320" w:top="230"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220345</wp:posOffset>
            </wp:positionV>
            <wp:extent cx="6986270" cy="9103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9103995"/>
                    </a:xfrm>
                    <a:prstGeom prst="rect">
                      <a:avLst/>
                    </a:prstGeom>
                    <a:noFill/>
                  </pic:spPr>
                </pic:pic>
              </a:graphicData>
            </a:graphic>
          </wp:anchor>
        </w:drawing>
      </w:r>
    </w:p>
    <w:p>
      <w:pPr>
        <w:sectPr>
          <w:pgSz w:w="11900" w:h="16839" w:orient="portrait"/>
          <w:cols w:equalWidth="0" w:num="1">
            <w:col w:w="11120"/>
          </w:cols>
          <w:pgMar w:left="320" w:top="459"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00" w:type="dxa"/>
            <w:vAlign w:val="bottom"/>
          </w:tcPr>
          <w:p>
            <w:pPr>
              <w:spacing w:after="0"/>
              <w:rPr>
                <w:sz w:val="20"/>
                <w:szCs w:val="20"/>
                <w:color w:val="auto"/>
              </w:rPr>
            </w:pPr>
            <w:r>
              <w:rPr>
                <w:rFonts w:ascii="Arial" w:cs="Arial" w:eastAsia="Arial" w:hAnsi="Arial"/>
                <w:sz w:val="13"/>
                <w:szCs w:val="13"/>
                <w:color w:val="FFFFFF"/>
              </w:rPr>
              <w:t>PROSPECTUS</w:t>
            </w:r>
          </w:p>
        </w:tc>
        <w:tc>
          <w:tcPr>
            <w:tcW w:w="9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line="41" w:lineRule="exact"/>
              <w:rPr>
                <w:sz w:val="20"/>
                <w:szCs w:val="20"/>
                <w:color w:val="auto"/>
              </w:rPr>
            </w:pPr>
            <w:r>
              <w:rPr>
                <w:rFonts w:ascii="Arial" w:cs="Arial" w:eastAsia="Arial" w:hAnsi="Arial"/>
                <w:sz w:val="4"/>
                <w:szCs w:val="4"/>
                <w:color w:val="FFFFFF"/>
              </w:rPr>
              <w:t>Subject to Completion</w:t>
            </w:r>
          </w:p>
        </w:tc>
        <w:tc>
          <w:tcPr>
            <w:tcW w:w="394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980" w:type="dxa"/>
            <w:vAlign w:val="bottom"/>
            <w:gridSpan w:val="2"/>
          </w:tcPr>
          <w:p>
            <w:pPr>
              <w:spacing w:after="0" w:line="41" w:lineRule="exact"/>
              <w:rPr>
                <w:sz w:val="20"/>
                <w:szCs w:val="20"/>
                <w:color w:val="auto"/>
              </w:rPr>
            </w:pPr>
            <w:r>
              <w:rPr>
                <w:rFonts w:ascii="Arial" w:cs="Arial" w:eastAsia="Arial" w:hAnsi="Arial"/>
                <w:sz w:val="4"/>
                <w:szCs w:val="4"/>
                <w:color w:val="FFFFFF"/>
              </w:rPr>
              <w:t>Preliminary Prospectus dated, 2020</w:t>
            </w:r>
          </w:p>
        </w:tc>
        <w:tc>
          <w:tcPr>
            <w:tcW w:w="394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line="41" w:lineRule="exact"/>
              <w:rPr>
                <w:sz w:val="20"/>
                <w:szCs w:val="20"/>
                <w:color w:val="auto"/>
              </w:rPr>
            </w:pPr>
            <w:r>
              <w:rPr>
                <w:rFonts w:ascii="Arial" w:cs="Arial" w:eastAsia="Arial" w:hAnsi="Arial"/>
                <w:sz w:val="4"/>
                <w:szCs w:val="4"/>
                <w:color w:val="FFFFFF"/>
              </w:rPr>
              <w:t>Shares</w:t>
            </w:r>
          </w:p>
        </w:tc>
        <w:tc>
          <w:tcPr>
            <w:tcW w:w="9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000" w:type="dxa"/>
            <w:vAlign w:val="bottom"/>
          </w:tcPr>
          <w:p>
            <w:pPr>
              <w:spacing w:after="0" w:line="41" w:lineRule="exact"/>
              <w:rPr>
                <w:sz w:val="20"/>
                <w:szCs w:val="20"/>
                <w:color w:val="auto"/>
              </w:rPr>
            </w:pPr>
            <w:r>
              <w:rPr>
                <w:rFonts w:ascii="Arial" w:cs="Arial" w:eastAsia="Arial" w:hAnsi="Arial"/>
                <w:sz w:val="4"/>
                <w:szCs w:val="4"/>
                <w:color w:val="FFFFFF"/>
              </w:rPr>
              <w:t>Common Stock</w:t>
            </w:r>
          </w:p>
        </w:tc>
        <w:tc>
          <w:tcPr>
            <w:tcW w:w="9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line="41" w:lineRule="exact"/>
              <w:rPr>
                <w:sz w:val="20"/>
                <w:szCs w:val="20"/>
                <w:color w:val="auto"/>
              </w:rPr>
            </w:pPr>
            <w:r>
              <w:rPr>
                <w:rFonts w:ascii="Arial" w:cs="Arial" w:eastAsia="Arial" w:hAnsi="Arial"/>
                <w:sz w:val="4"/>
                <w:szCs w:val="4"/>
                <w:color w:val="FFFFFF"/>
              </w:rPr>
              <w:t>ncino</w:t>
            </w:r>
          </w:p>
        </w:tc>
        <w:tc>
          <w:tcPr>
            <w:tcW w:w="980" w:type="dxa"/>
            <w:vAlign w:val="bottom"/>
          </w:tcPr>
          <w:p>
            <w:pPr>
              <w:spacing w:after="0"/>
              <w:rPr>
                <w:sz w:val="3"/>
                <w:szCs w:val="3"/>
                <w:color w:val="auto"/>
              </w:rPr>
            </w:pPr>
          </w:p>
        </w:tc>
        <w:tc>
          <w:tcPr>
            <w:tcW w:w="394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not complete and may be changed. The selling stockholders may not</w:t>
            </w:r>
          </w:p>
        </w:tc>
        <w:tc>
          <w:tcPr>
            <w:tcW w:w="508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these securities until the registration statement fled with the Securities and Exchange</w:t>
            </w: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line="41" w:lineRule="exact"/>
              <w:rPr>
                <w:sz w:val="20"/>
                <w:szCs w:val="20"/>
                <w:color w:val="auto"/>
              </w:rPr>
            </w:pPr>
            <w:r>
              <w:rPr>
                <w:rFonts w:ascii="Arial" w:cs="Arial" w:eastAsia="Arial" w:hAnsi="Arial"/>
                <w:sz w:val="4"/>
                <w:szCs w:val="4"/>
                <w:color w:val="FFFFFF"/>
              </w:rPr>
              <w:t>The information in this prospectus</w:t>
            </w:r>
          </w:p>
        </w:tc>
        <w:tc>
          <w:tcPr>
            <w:tcW w:w="3940" w:type="dxa"/>
            <w:vAlign w:val="bottom"/>
            <w:vMerge w:val="continue"/>
          </w:tcPr>
          <w:p>
            <w:pPr>
              <w:spacing w:after="0"/>
              <w:rPr>
                <w:sz w:val="3"/>
                <w:szCs w:val="3"/>
                <w:color w:val="auto"/>
              </w:rPr>
            </w:pPr>
          </w:p>
        </w:tc>
        <w:tc>
          <w:tcPr>
            <w:tcW w:w="5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1000" w:type="dxa"/>
            <w:vAlign w:val="bottom"/>
            <w:gridSpan w:val="4"/>
          </w:tcPr>
          <w:p>
            <w:pPr>
              <w:spacing w:after="0" w:line="41" w:lineRule="exact"/>
              <w:rPr>
                <w:sz w:val="20"/>
                <w:szCs w:val="20"/>
                <w:color w:val="auto"/>
              </w:rPr>
            </w:pPr>
            <w:r>
              <w:rPr>
                <w:rFonts w:ascii="Arial" w:cs="Arial" w:eastAsia="Arial" w:hAnsi="Arial"/>
                <w:sz w:val="4"/>
                <w:szCs w:val="4"/>
                <w:color w:val="FFFFFF"/>
              </w:rPr>
              <w:t>Commission is declared effective. This prospectus is not an offer to sell these securities and we and the selling stockholders are not soliciting offers to buy these securities in any jurisdiction where the</w:t>
            </w: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line="41" w:lineRule="exact"/>
              <w:rPr>
                <w:sz w:val="20"/>
                <w:szCs w:val="20"/>
                <w:color w:val="auto"/>
              </w:rPr>
            </w:pPr>
            <w:r>
              <w:rPr>
                <w:rFonts w:ascii="Arial" w:cs="Arial" w:eastAsia="Arial" w:hAnsi="Arial"/>
                <w:sz w:val="4"/>
                <w:szCs w:val="4"/>
                <w:color w:val="FFFFFF"/>
              </w:rPr>
              <w:t>offer or sale is not permitted.</w:t>
            </w:r>
          </w:p>
        </w:tc>
        <w:tc>
          <w:tcPr>
            <w:tcW w:w="394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000" w:type="dxa"/>
            <w:vAlign w:val="bottom"/>
          </w:tcPr>
          <w:p>
            <w:pPr>
              <w:spacing w:after="0" w:line="41" w:lineRule="exact"/>
              <w:rPr>
                <w:sz w:val="20"/>
                <w:szCs w:val="20"/>
                <w:color w:val="auto"/>
              </w:rPr>
            </w:pPr>
            <w:r>
              <w:rPr>
                <w:rFonts w:ascii="Arial" w:cs="Arial" w:eastAsia="Arial" w:hAnsi="Arial"/>
                <w:sz w:val="4"/>
                <w:szCs w:val="4"/>
                <w:color w:val="FFFFFF"/>
              </w:rPr>
              <w:t>Certain</w:t>
            </w:r>
          </w:p>
        </w:tc>
        <w:tc>
          <w:tcPr>
            <w:tcW w:w="10000" w:type="dxa"/>
            <w:vAlign w:val="bottom"/>
            <w:gridSpan w:val="3"/>
          </w:tcPr>
          <w:p>
            <w:pPr>
              <w:ind w:left="140"/>
              <w:spacing w:after="0" w:line="41" w:lineRule="exact"/>
              <w:rPr>
                <w:sz w:val="20"/>
                <w:szCs w:val="20"/>
                <w:color w:val="auto"/>
              </w:rPr>
            </w:pPr>
            <w:r>
              <w:rPr>
                <w:rFonts w:ascii="Arial" w:cs="Arial" w:eastAsia="Arial" w:hAnsi="Arial"/>
                <w:sz w:val="4"/>
                <w:szCs w:val="4"/>
                <w:color w:val="FFFFFF"/>
              </w:rPr>
              <w:t>of nCino, Inc. are offering shares of our common stock. We will not receive any proceeds from the sale of shares of our common stock in this offering.</w:t>
            </w:r>
          </w:p>
        </w:tc>
        <w:tc>
          <w:tcPr>
            <w:tcW w:w="0" w:type="dxa"/>
            <w:vAlign w:val="bottom"/>
          </w:tcPr>
          <w:p>
            <w:pPr>
              <w:spacing w:after="0"/>
              <w:rPr>
                <w:sz w:val="1"/>
                <w:szCs w:val="1"/>
                <w:color w:val="auto"/>
              </w:rPr>
            </w:pPr>
          </w:p>
        </w:tc>
      </w:tr>
      <w:tr>
        <w:trPr>
          <w:trHeight w:val="41"/>
        </w:trPr>
        <w:tc>
          <w:tcPr>
            <w:tcW w:w="11000" w:type="dxa"/>
            <w:vAlign w:val="bottom"/>
            <w:gridSpan w:val="4"/>
          </w:tcPr>
          <w:p>
            <w:pPr>
              <w:spacing w:after="0" w:line="41" w:lineRule="exact"/>
              <w:rPr>
                <w:sz w:val="20"/>
                <w:szCs w:val="20"/>
                <w:color w:val="auto"/>
              </w:rPr>
            </w:pPr>
            <w:r>
              <w:rPr>
                <w:rFonts w:ascii="Arial" w:cs="Arial" w:eastAsia="Arial" w:hAnsi="Arial"/>
                <w:sz w:val="4"/>
                <w:szCs w:val="4"/>
                <w:color w:val="FFFFFF"/>
              </w:rPr>
              <w:t>Our commonstockholdersis listed on The Nasdaq Global Select Market under the symbol “NCNO.” On , 2020, the last reported sale price of our common stock on The Nasdaq Global Select Market was $ per</w:t>
            </w:r>
          </w:p>
        </w:tc>
        <w:tc>
          <w:tcPr>
            <w:tcW w:w="0" w:type="dxa"/>
            <w:vAlign w:val="bottom"/>
          </w:tcPr>
          <w:p>
            <w:pPr>
              <w:spacing w:after="0"/>
              <w:rPr>
                <w:sz w:val="1"/>
                <w:szCs w:val="1"/>
                <w:color w:val="auto"/>
              </w:rPr>
            </w:pPr>
          </w:p>
        </w:tc>
      </w:tr>
      <w:tr>
        <w:trPr>
          <w:trHeight w:val="40"/>
        </w:trPr>
        <w:tc>
          <w:tcPr>
            <w:tcW w:w="1000" w:type="dxa"/>
            <w:vAlign w:val="bottom"/>
          </w:tcPr>
          <w:p>
            <w:pPr>
              <w:ind w:left="280"/>
              <w:spacing w:after="0" w:line="41" w:lineRule="exact"/>
              <w:rPr>
                <w:sz w:val="20"/>
                <w:szCs w:val="20"/>
                <w:color w:val="auto"/>
              </w:rPr>
            </w:pPr>
            <w:r>
              <w:rPr>
                <w:rFonts w:ascii="Arial" w:cs="Arial" w:eastAsia="Arial" w:hAnsi="Arial"/>
                <w:sz w:val="4"/>
                <w:szCs w:val="4"/>
                <w:color w:val="FFFFFF"/>
              </w:rPr>
              <w:t>.</w:t>
            </w:r>
          </w:p>
        </w:tc>
        <w:tc>
          <w:tcPr>
            <w:tcW w:w="9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00" w:type="dxa"/>
            <w:vAlign w:val="bottom"/>
            <w:gridSpan w:val="4"/>
          </w:tcPr>
          <w:p>
            <w:pPr>
              <w:spacing w:after="0" w:line="41" w:lineRule="exact"/>
              <w:rPr>
                <w:sz w:val="20"/>
                <w:szCs w:val="20"/>
                <w:color w:val="auto"/>
              </w:rPr>
            </w:pPr>
            <w:r>
              <w:rPr>
                <w:rFonts w:ascii="Arial" w:cs="Arial" w:eastAsia="Arial" w:hAnsi="Arial"/>
                <w:sz w:val="4"/>
                <w:szCs w:val="4"/>
                <w:color w:val="FFFFFF"/>
              </w:rPr>
              <w:t>shareWare an “emerging growth company” as the term is used in the Jumpstart Our Business Startups Act of 2012 and, as such, have elected to comply with certain reduced public company reporting</w:t>
            </w:r>
          </w:p>
        </w:tc>
        <w:tc>
          <w:tcPr>
            <w:tcW w:w="0" w:type="dxa"/>
            <w:vAlign w:val="bottom"/>
          </w:tcPr>
          <w:p>
            <w:pPr>
              <w:spacing w:after="0"/>
              <w:rPr>
                <w:sz w:val="1"/>
                <w:szCs w:val="1"/>
                <w:color w:val="auto"/>
              </w:rPr>
            </w:pPr>
          </w:p>
        </w:tc>
      </w:tr>
      <w:tr>
        <w:trPr>
          <w:trHeight w:val="40"/>
        </w:trPr>
        <w:tc>
          <w:tcPr>
            <w:tcW w:w="5920" w:type="dxa"/>
            <w:vAlign w:val="bottom"/>
            <w:gridSpan w:val="3"/>
          </w:tcPr>
          <w:p>
            <w:pPr>
              <w:spacing w:after="0" w:line="41" w:lineRule="exact"/>
              <w:rPr>
                <w:sz w:val="20"/>
                <w:szCs w:val="20"/>
                <w:color w:val="auto"/>
              </w:rPr>
            </w:pPr>
            <w:r>
              <w:rPr>
                <w:rFonts w:ascii="Arial" w:cs="Arial" w:eastAsia="Arial" w:hAnsi="Arial"/>
                <w:sz w:val="4"/>
                <w:szCs w:val="4"/>
                <w:color w:val="FFFFFF"/>
              </w:rPr>
              <w:t>requirements. See the section titled “Prospectus Summary—Emerging Growth Company.”</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920" w:type="dxa"/>
            <w:vAlign w:val="bottom"/>
            <w:gridSpan w:val="3"/>
          </w:tcPr>
          <w:p>
            <w:pPr>
              <w:spacing w:after="0" w:line="41" w:lineRule="exact"/>
              <w:rPr>
                <w:sz w:val="20"/>
                <w:szCs w:val="20"/>
                <w:color w:val="auto"/>
              </w:rPr>
            </w:pPr>
            <w:r>
              <w:rPr>
                <w:rFonts w:ascii="Arial" w:cs="Arial" w:eastAsia="Arial" w:hAnsi="Arial"/>
                <w:sz w:val="4"/>
                <w:szCs w:val="4"/>
                <w:color w:val="FFFFFF"/>
              </w:rPr>
              <w:t>Investing in our common stock involves risks. See “Risk Factors” on page [].</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000" w:type="dxa"/>
            <w:vAlign w:val="bottom"/>
          </w:tcPr>
          <w:p>
            <w:pPr>
              <w:spacing w:after="0" w:line="41" w:lineRule="exact"/>
              <w:rPr>
                <w:sz w:val="20"/>
                <w:szCs w:val="20"/>
                <w:color w:val="auto"/>
              </w:rPr>
            </w:pPr>
            <w:r>
              <w:rPr>
                <w:rFonts w:ascii="Arial" w:cs="Arial" w:eastAsia="Arial" w:hAnsi="Arial"/>
                <w:sz w:val="4"/>
                <w:szCs w:val="4"/>
                <w:color w:val="FFFFFF"/>
              </w:rPr>
              <w:t>Price to Public</w:t>
            </w:r>
          </w:p>
        </w:tc>
        <w:tc>
          <w:tcPr>
            <w:tcW w:w="9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920" w:type="dxa"/>
            <w:vAlign w:val="bottom"/>
            <w:gridSpan w:val="3"/>
          </w:tcPr>
          <w:p>
            <w:pPr>
              <w:spacing w:after="0" w:line="41" w:lineRule="exact"/>
              <w:rPr>
                <w:sz w:val="20"/>
                <w:szCs w:val="20"/>
                <w:color w:val="auto"/>
              </w:rPr>
            </w:pPr>
            <w:r>
              <w:rPr>
                <w:rFonts w:ascii="Arial" w:cs="Arial" w:eastAsia="Arial" w:hAnsi="Arial"/>
                <w:sz w:val="4"/>
                <w:szCs w:val="4"/>
                <w:color w:val="FFFFFF"/>
              </w:rPr>
              <w:t>Underwriting Discounts and Commissions (1)</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5920" w:type="dxa"/>
            <w:vAlign w:val="bottom"/>
            <w:gridSpan w:val="3"/>
          </w:tcPr>
          <w:p>
            <w:pPr>
              <w:ind w:left="80"/>
              <w:spacing w:after="0" w:line="41" w:lineRule="exact"/>
              <w:rPr>
                <w:sz w:val="20"/>
                <w:szCs w:val="20"/>
                <w:color w:val="auto"/>
              </w:rPr>
            </w:pPr>
            <w:r>
              <w:rPr>
                <w:rFonts w:ascii="Arial" w:cs="Arial" w:eastAsia="Arial" w:hAnsi="Arial"/>
                <w:sz w:val="4"/>
                <w:szCs w:val="4"/>
                <w:color w:val="FFFFFF"/>
              </w:rPr>
              <w:t>roceeds to the Selling Stockholders, Before Expenses</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000" w:type="dxa"/>
            <w:vAlign w:val="bottom"/>
          </w:tcPr>
          <w:p>
            <w:pPr>
              <w:spacing w:after="0" w:line="41" w:lineRule="exact"/>
              <w:rPr>
                <w:sz w:val="20"/>
                <w:szCs w:val="20"/>
                <w:color w:val="auto"/>
              </w:rPr>
            </w:pPr>
            <w:r>
              <w:rPr>
                <w:rFonts w:ascii="Arial" w:cs="Arial" w:eastAsia="Arial" w:hAnsi="Arial"/>
                <w:sz w:val="4"/>
                <w:szCs w:val="4"/>
                <w:color w:val="FFFFFF"/>
              </w:rPr>
              <w:t>Per Share $ $ $</w:t>
            </w:r>
          </w:p>
        </w:tc>
        <w:tc>
          <w:tcPr>
            <w:tcW w:w="9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000" w:type="dxa"/>
            <w:vAlign w:val="bottom"/>
          </w:tcPr>
          <w:p>
            <w:pPr>
              <w:spacing w:after="0" w:line="41" w:lineRule="exact"/>
              <w:rPr>
                <w:sz w:val="20"/>
                <w:szCs w:val="20"/>
                <w:color w:val="auto"/>
              </w:rPr>
            </w:pPr>
            <w:r>
              <w:rPr>
                <w:rFonts w:ascii="Arial" w:cs="Arial" w:eastAsia="Arial" w:hAnsi="Arial"/>
                <w:sz w:val="4"/>
                <w:szCs w:val="4"/>
                <w:color w:val="FFFFFF"/>
              </w:rPr>
              <w:t>Total $ $ $</w:t>
            </w:r>
          </w:p>
        </w:tc>
        <w:tc>
          <w:tcPr>
            <w:tcW w:w="9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5920" w:type="dxa"/>
            <w:vAlign w:val="bottom"/>
            <w:gridSpan w:val="3"/>
          </w:tcPr>
          <w:p>
            <w:pPr>
              <w:spacing w:after="0" w:line="41" w:lineRule="exact"/>
              <w:rPr>
                <w:sz w:val="20"/>
                <w:szCs w:val="20"/>
                <w:color w:val="auto"/>
              </w:rPr>
            </w:pPr>
            <w:r>
              <w:rPr>
                <w:rFonts w:ascii="Arial" w:cs="Arial" w:eastAsia="Arial" w:hAnsi="Arial"/>
                <w:sz w:val="4"/>
                <w:szCs w:val="4"/>
                <w:color w:val="FFFFFF"/>
              </w:rPr>
              <w:t>(1) See the section entitled “Underwriting” for additional information regarding underwriting compensation.</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1000" w:type="dxa"/>
            <w:vAlign w:val="bottom"/>
            <w:gridSpan w:val="4"/>
          </w:tcPr>
          <w:p>
            <w:pPr>
              <w:spacing w:after="0" w:line="41" w:lineRule="exact"/>
              <w:rPr>
                <w:sz w:val="20"/>
                <w:szCs w:val="20"/>
                <w:color w:val="auto"/>
              </w:rPr>
            </w:pPr>
            <w:r>
              <w:rPr>
                <w:rFonts w:ascii="Arial" w:cs="Arial" w:eastAsia="Arial" w:hAnsi="Arial"/>
                <w:sz w:val="4"/>
                <w:szCs w:val="4"/>
                <w:color w:val="FFFFFF"/>
              </w:rPr>
              <w:t>The selling stockholders have granted the underwriters the right to pur hase up to an additional shares of our common stock at the public offering price less the underwriting discount.</w:t>
            </w:r>
          </w:p>
        </w:tc>
        <w:tc>
          <w:tcPr>
            <w:tcW w:w="0" w:type="dxa"/>
            <w:vAlign w:val="bottom"/>
          </w:tcPr>
          <w:p>
            <w:pPr>
              <w:spacing w:after="0"/>
              <w:rPr>
                <w:sz w:val="1"/>
                <w:szCs w:val="1"/>
                <w:color w:val="auto"/>
              </w:rPr>
            </w:pPr>
          </w:p>
        </w:tc>
      </w:tr>
      <w:tr>
        <w:trPr>
          <w:trHeight w:val="40"/>
        </w:trPr>
        <w:tc>
          <w:tcPr>
            <w:tcW w:w="1980" w:type="dxa"/>
            <w:vAlign w:val="bottom"/>
            <w:gridSpan w:val="2"/>
          </w:tcPr>
          <w:p>
            <w:pPr>
              <w:spacing w:after="0" w:line="41" w:lineRule="exact"/>
              <w:rPr>
                <w:sz w:val="20"/>
                <w:szCs w:val="20"/>
                <w:color w:val="auto"/>
              </w:rPr>
            </w:pPr>
            <w:r>
              <w:rPr>
                <w:rFonts w:ascii="Arial" w:cs="Arial" w:eastAsia="Arial" w:hAnsi="Arial"/>
                <w:sz w:val="4"/>
                <w:szCs w:val="4"/>
                <w:color w:val="FFFFFF"/>
              </w:rPr>
              <w:t>Neither the Securities and Exchange</w:t>
            </w:r>
          </w:p>
        </w:tc>
        <w:tc>
          <w:tcPr>
            <w:tcW w:w="9020" w:type="dxa"/>
            <w:vAlign w:val="bottom"/>
            <w:gridSpan w:val="2"/>
          </w:tcPr>
          <w:p>
            <w:pPr>
              <w:ind w:left="760"/>
              <w:spacing w:after="0" w:line="41" w:lineRule="exact"/>
              <w:rPr>
                <w:sz w:val="20"/>
                <w:szCs w:val="20"/>
                <w:color w:val="auto"/>
              </w:rPr>
            </w:pPr>
            <w:r>
              <w:rPr>
                <w:rFonts w:ascii="Arial" w:cs="Arial" w:eastAsia="Arial" w:hAnsi="Arial"/>
                <w:sz w:val="4"/>
                <w:szCs w:val="4"/>
                <w:color w:val="FFFFFF"/>
              </w:rPr>
              <w:t>any state securities commission nor any other regulatory body has approved or disapproved of these securities or determined if this prospectus is truthful</w:t>
            </w:r>
          </w:p>
        </w:tc>
        <w:tc>
          <w:tcPr>
            <w:tcW w:w="0" w:type="dxa"/>
            <w:vAlign w:val="bottom"/>
          </w:tcPr>
          <w:p>
            <w:pPr>
              <w:spacing w:after="0"/>
              <w:rPr>
                <w:sz w:val="1"/>
                <w:szCs w:val="1"/>
                <w:color w:val="auto"/>
              </w:rPr>
            </w:pPr>
          </w:p>
        </w:tc>
      </w:tr>
      <w:tr>
        <w:trPr>
          <w:trHeight w:val="40"/>
        </w:trPr>
        <w:tc>
          <w:tcPr>
            <w:tcW w:w="5920" w:type="dxa"/>
            <w:vAlign w:val="bottom"/>
            <w:gridSpan w:val="3"/>
          </w:tcPr>
          <w:p>
            <w:pPr>
              <w:spacing w:after="0" w:line="41" w:lineRule="exact"/>
              <w:rPr>
                <w:sz w:val="20"/>
                <w:szCs w:val="20"/>
                <w:color w:val="auto"/>
              </w:rPr>
            </w:pPr>
            <w:r>
              <w:rPr>
                <w:rFonts w:ascii="Arial" w:cs="Arial" w:eastAsia="Arial" w:hAnsi="Arial"/>
                <w:sz w:val="4"/>
                <w:szCs w:val="4"/>
                <w:color w:val="FFFFFF"/>
              </w:rPr>
              <w:t>or complete. Any representation to theCommission,contrary a criminal offense.</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5920" w:type="dxa"/>
            <w:vAlign w:val="bottom"/>
            <w:gridSpan w:val="3"/>
          </w:tcPr>
          <w:p>
            <w:pPr>
              <w:spacing w:after="0" w:line="40" w:lineRule="exact"/>
              <w:rPr>
                <w:sz w:val="20"/>
                <w:szCs w:val="20"/>
                <w:color w:val="auto"/>
              </w:rPr>
            </w:pPr>
            <w:r>
              <w:rPr>
                <w:rFonts w:ascii="Arial" w:cs="Arial" w:eastAsia="Arial" w:hAnsi="Arial"/>
                <w:sz w:val="4"/>
                <w:szCs w:val="4"/>
                <w:color w:val="FFFFFF"/>
              </w:rPr>
              <w:t>The underwriters expect to deliver the shares to investors on or about, 2020.</w:t>
            </w: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line="25" w:lineRule="auto"/>
        <w:rPr>
          <w:sz w:val="20"/>
          <w:szCs w:val="20"/>
          <w:color w:val="auto"/>
        </w:rPr>
      </w:pPr>
      <w:r>
        <w:rPr>
          <w:rFonts w:ascii="Arial" w:cs="Arial" w:eastAsia="Arial" w:hAnsi="Arial"/>
          <w:sz w:val="1"/>
          <w:szCs w:val="1"/>
          <w:color w:val="FFFFFF"/>
        </w:rPr>
        <w:t>BofA Securities Barclays KeyBanc Capital Markets Truist Securities</w:t>
      </w:r>
    </w:p>
    <w:p>
      <w:pPr>
        <w:ind w:left="120"/>
        <w:spacing w:after="0" w:line="211" w:lineRule="auto"/>
        <w:rPr>
          <w:sz w:val="20"/>
          <w:szCs w:val="20"/>
          <w:color w:val="auto"/>
        </w:rPr>
      </w:pPr>
      <w:r>
        <w:rPr>
          <w:rFonts w:ascii="Arial" w:cs="Arial" w:eastAsia="Arial" w:hAnsi="Arial"/>
          <w:sz w:val="4"/>
          <w:szCs w:val="4"/>
          <w:color w:val="FFFFFF"/>
        </w:rPr>
        <w:t>Piper Sandler Raymond James Macquarie Capital</w:t>
      </w:r>
    </w:p>
    <w:p>
      <w:pPr>
        <w:ind w:left="120"/>
        <w:spacing w:after="0"/>
        <w:rPr>
          <w:sz w:val="20"/>
          <w:szCs w:val="20"/>
          <w:color w:val="auto"/>
        </w:rPr>
      </w:pPr>
      <w:r>
        <w:rPr>
          <w:rFonts w:ascii="Arial" w:cs="Arial" w:eastAsia="Arial" w:hAnsi="Arial"/>
          <w:sz w:val="13"/>
          <w:szCs w:val="13"/>
          <w:color w:val="FFFFFF"/>
        </w:rPr>
        <w:t>The date of this prospectus is, 2020.</w:t>
      </w:r>
    </w:p>
    <w:p>
      <w:pPr>
        <w:sectPr>
          <w:pgSz w:w="11900" w:h="16839" w:orient="portrait"/>
          <w:cols w:equalWidth="0" w:num="1">
            <w:col w:w="11120"/>
          </w:cols>
          <w:pgMar w:left="320" w:top="459" w:right="459" w:bottom="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ind w:left="120" w:right="160"/>
        <w:spacing w:after="0" w:line="195" w:lineRule="auto"/>
        <w:rPr>
          <w:sz w:val="20"/>
          <w:szCs w:val="20"/>
          <w:color w:val="auto"/>
        </w:rPr>
      </w:pPr>
      <w:r>
        <w:rPr>
          <w:rFonts w:ascii="Arial" w:cs="Arial" w:eastAsia="Arial" w:hAnsi="Arial"/>
          <w:sz w:val="9"/>
          <w:szCs w:val="9"/>
          <w:color w:val="FFFFFF"/>
        </w:rPr>
        <w:t>“TD Bank’s investment into the nCino platform ultimately will enable us to provide a seamless experience to our clients and an improved employee experience—both critical to the success of the organization. Through nCino, TD Bank is consolidating numerous legacy systems into one top-tier, foundational platform that allows for better communication, credit administration and processes, and through data, advanced visibility into the lifecycle of relationships and future opportunities.” C H R I S G I A M O H E A D O F C O M M E R C I A L B A N K I N G “At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-24130</wp:posOffset>
            </wp:positionV>
            <wp:extent cx="6669405" cy="9103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9405" cy="9103995"/>
                    </a:xfrm>
                    <a:prstGeom prst="rect">
                      <a:avLst/>
                    </a:prstGeom>
                    <a:noFill/>
                  </pic:spPr>
                </pic:pic>
              </a:graphicData>
            </a:graphic>
          </wp:anchor>
        </w:drawing>
      </w:r>
    </w:p>
    <w:p>
      <w:pPr>
        <w:sectPr>
          <w:pgSz w:w="11900" w:h="16838" w:orient="portrait"/>
          <w:cols w:equalWidth="0" w:num="1">
            <w:col w:w="11120"/>
          </w:cols>
          <w:pgMar w:left="320" w:top="459" w:right="459" w:bottom="4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Arial" w:cs="Arial" w:eastAsia="Arial" w:hAnsi="Arial"/>
          <w:sz w:val="23"/>
          <w:szCs w:val="23"/>
          <w:color w:val="FFFFFF"/>
          <w:vertAlign w:val="subscript"/>
        </w:rPr>
        <w:t>nCino,</w:t>
      </w:r>
      <w:r>
        <w:rPr>
          <w:rFonts w:ascii="Arial" w:cs="Arial" w:eastAsia="Arial" w:hAnsi="Arial"/>
          <w:sz w:val="12"/>
          <w:szCs w:val="12"/>
          <w:color w:val="FFFFFF"/>
        </w:rPr>
        <w:t>nectOne, we’ve built our success through our sense of urgency and culture of efficiency. The nCino platform allows us to scale this culture by providing a fully digitized end to end experience. With</w:t>
      </w:r>
    </w:p>
    <w:p>
      <w:pPr>
        <w:ind w:left="6360"/>
        <w:spacing w:after="0"/>
        <w:tabs>
          <w:tab w:leader="none" w:pos="6340" w:val="left"/>
          <w:tab w:leader="none" w:pos="8260" w:val="left"/>
        </w:tabs>
        <w:rPr>
          <w:sz w:val="20"/>
          <w:szCs w:val="20"/>
          <w:color w:val="auto"/>
        </w:rPr>
      </w:pPr>
      <w:r>
        <w:rPr>
          <w:rFonts w:ascii="Arial" w:cs="Arial" w:eastAsia="Arial" w:hAnsi="Arial"/>
          <w:sz w:val="1"/>
          <w:szCs w:val="1"/>
          <w:color w:val="FFFFFF"/>
        </w:rPr>
        <w:t>it takes maybe a minute to put a lead’s information into the system and start the process. It’ a game</w:t>
      </w:r>
      <w:r>
        <w:rPr>
          <w:sz w:val="20"/>
          <w:szCs w:val="20"/>
          <w:color w:val="auto"/>
        </w:rPr>
        <w:tab/>
      </w:r>
      <w:r>
        <w:rPr>
          <w:rFonts w:ascii="Arial" w:cs="Arial" w:eastAsia="Arial" w:hAnsi="Arial"/>
          <w:sz w:val="1"/>
          <w:szCs w:val="1"/>
          <w:color w:val="FFFFFF"/>
        </w:rPr>
        <w:t>. We were already processing</w:t>
      </w:r>
      <w:r>
        <w:rPr>
          <w:sz w:val="20"/>
          <w:szCs w:val="20"/>
          <w:color w:val="auto"/>
        </w:rPr>
        <w:tab/>
      </w:r>
      <w:r>
        <w:rPr>
          <w:rFonts w:ascii="Arial" w:cs="Arial" w:eastAsia="Arial" w:hAnsi="Arial"/>
          <w:sz w:val="1"/>
          <w:szCs w:val="1"/>
          <w:color w:val="FFFFFF"/>
        </w:rPr>
        <w:t>pretty quickly, but with nCino it is cutting time from</w:t>
      </w:r>
    </w:p>
    <w:p>
      <w:pPr>
        <w:ind w:left="120"/>
        <w:spacing w:after="0" w:line="187" w:lineRule="auto"/>
        <w:rPr>
          <w:sz w:val="20"/>
          <w:szCs w:val="20"/>
          <w:color w:val="auto"/>
        </w:rPr>
      </w:pPr>
      <w:r>
        <w:rPr>
          <w:rFonts w:ascii="Arial" w:cs="Arial" w:eastAsia="Arial" w:hAnsi="Arial"/>
          <w:sz w:val="7"/>
          <w:szCs w:val="7"/>
          <w:color w:val="FFFFFF"/>
        </w:rPr>
        <w:t>the process.” F R A N K S O R R E N T I N O C E</w:t>
      </w:r>
      <w:r>
        <w:rPr>
          <w:rFonts w:ascii="Arial" w:cs="Arial" w:eastAsia="Arial" w:hAnsi="Arial"/>
          <w:sz w:val="9"/>
          <w:szCs w:val="9"/>
          <w:color w:val="FFFFFF"/>
          <w:vertAlign w:val="subscript"/>
        </w:rPr>
        <w:t>Operating</w:t>
      </w:r>
      <w:r>
        <w:rPr>
          <w:rFonts w:ascii="Arial" w:cs="Arial" w:eastAsia="Arial" w:hAnsi="Arial"/>
          <w:sz w:val="7"/>
          <w:szCs w:val="7"/>
          <w:color w:val="FFFFFF"/>
        </w:rPr>
        <w:t>AND C H A I R M A N “Santander UK has embarkedchangerontransformation project to deliverloanscuttingedge experience for our clients and nCino is a</w:t>
      </w:r>
    </w:p>
    <w:p>
      <w:pPr>
        <w:ind w:left="120"/>
        <w:spacing w:after="0" w:line="213" w:lineRule="auto"/>
        <w:tabs>
          <w:tab w:leader="none" w:pos="3340" w:val="left"/>
        </w:tabs>
        <w:rPr>
          <w:sz w:val="20"/>
          <w:szCs w:val="20"/>
          <w:color w:val="auto"/>
        </w:rPr>
      </w:pPr>
      <w:r>
        <w:rPr>
          <w:rFonts w:ascii="Arial" w:cs="Arial" w:eastAsia="Arial" w:hAnsi="Arial"/>
          <w:sz w:val="4"/>
          <w:szCs w:val="4"/>
          <w:color w:val="FFFFFF"/>
        </w:rPr>
        <w:t>critical part of our strategy. With the nCino Bank</w:t>
      </w:r>
      <w:r>
        <w:rPr>
          <w:sz w:val="20"/>
          <w:szCs w:val="20"/>
          <w:color w:val="auto"/>
        </w:rPr>
        <w:tab/>
      </w:r>
      <w:r>
        <w:rPr>
          <w:rFonts w:ascii="Arial" w:cs="Arial" w:eastAsia="Arial" w:hAnsi="Arial"/>
          <w:sz w:val="2"/>
          <w:szCs w:val="2"/>
          <w:color w:val="FFFFFF"/>
        </w:rPr>
        <w:t>System in place, we no longer rely on siloed legacy systems that require rekeying information and result</w:t>
      </w:r>
      <w:r>
        <w:rPr>
          <w:rFonts w:ascii="Arial" w:cs="Arial" w:eastAsia="Arial" w:hAnsi="Arial"/>
          <w:sz w:val="4"/>
          <w:szCs w:val="4"/>
          <w:color w:val="FFFFFF"/>
          <w:vertAlign w:val="subscript"/>
        </w:rPr>
        <w:t>lending</w:t>
      </w:r>
      <w:r>
        <w:rPr>
          <w:rFonts w:ascii="Arial" w:cs="Arial" w:eastAsia="Arial" w:hAnsi="Arial"/>
          <w:sz w:val="2"/>
          <w:szCs w:val="2"/>
          <w:color w:val="FFFFFF"/>
        </w:rPr>
        <w:t>prolonged turnaround times.</w:t>
      </w:r>
    </w:p>
    <w:p>
      <w:pPr>
        <w:ind w:left="200" w:right="20" w:hanging="78"/>
        <w:spacing w:after="0" w:line="187" w:lineRule="auto"/>
        <w:rPr>
          <w:sz w:val="20"/>
          <w:szCs w:val="20"/>
          <w:color w:val="auto"/>
        </w:rPr>
      </w:pPr>
      <w:r>
        <w:rPr>
          <w:rFonts w:ascii="Arial" w:cs="Arial" w:eastAsia="Arial" w:hAnsi="Arial"/>
          <w:sz w:val="26"/>
          <w:szCs w:val="26"/>
          <w:color w:val="FFFFFF"/>
          <w:vertAlign w:val="superscript"/>
        </w:rPr>
        <w:t>I</w:t>
      </w:r>
      <w:r>
        <w:rPr>
          <w:rFonts w:ascii="Arial" w:cs="Arial" w:eastAsia="Arial" w:hAnsi="Arial"/>
          <w:sz w:val="13"/>
          <w:szCs w:val="13"/>
          <w:color w:val="FFFFFF"/>
        </w:rPr>
        <w:t>nstead, we have a modern, flexible and scalable technology solution that allows us to offer our clients a faster, more efficient and more transparent onboarding and</w:t>
      </w:r>
      <w:r>
        <w:rPr>
          <w:sz w:val="20"/>
          <w:szCs w:val="20"/>
          <w:color w:val="auto"/>
        </w:rPr>
        <w:t xml:space="preserve"> </w:t>
      </w:r>
      <w:r>
        <w:rPr>
          <w:rFonts w:ascii="Arial" w:cs="Arial" w:eastAsia="Arial" w:hAnsi="Arial"/>
          <w:sz w:val="7"/>
          <w:szCs w:val="7"/>
          <w:color w:val="FFFFFF"/>
        </w:rPr>
        <w:t>experience.” C H R I S FA L L S C H I E F O P E R AT I N G O F F I C E R CO R P O R AT E &amp;</w:t>
      </w:r>
      <w:r>
        <w:rPr>
          <w:rFonts w:ascii="Arial" w:cs="Arial" w:eastAsia="Arial" w:hAnsi="Arial"/>
          <w:sz w:val="9"/>
          <w:szCs w:val="9"/>
          <w:color w:val="FFFFFF"/>
          <w:vertAlign w:val="subscript"/>
        </w:rPr>
        <w:t>COVID</w:t>
      </w:r>
      <w:r>
        <w:rPr>
          <w:rFonts w:ascii="Arial" w:cs="Arial" w:eastAsia="Arial" w:hAnsi="Arial"/>
          <w:sz w:val="7"/>
          <w:szCs w:val="7"/>
          <w:color w:val="FFFFFF"/>
        </w:rPr>
        <w:t>OM M E R C I A L B A N K I N G “With nCino, we can not only provide muchneeded funding to our small business customers,</w:t>
      </w:r>
    </w:p>
    <w:p>
      <w:pPr>
        <w:ind w:left="120"/>
        <w:spacing w:after="0" w:line="211" w:lineRule="auto"/>
        <w:tabs>
          <w:tab w:leader="none" w:pos="4200" w:val="left"/>
        </w:tabs>
        <w:rPr>
          <w:sz w:val="20"/>
          <w:szCs w:val="20"/>
          <w:color w:val="auto"/>
        </w:rPr>
      </w:pPr>
      <w:r>
        <w:rPr>
          <w:rFonts w:ascii="Arial" w:cs="Arial" w:eastAsia="Arial" w:hAnsi="Arial"/>
          <w:sz w:val="2"/>
          <w:szCs w:val="2"/>
          <w:color w:val="FFFFFF"/>
        </w:rPr>
        <w:t xml:space="preserve">but we can </w:t>
      </w:r>
      <w:r>
        <w:rPr>
          <w:rFonts w:ascii="Arial" w:cs="Arial" w:eastAsia="Arial" w:hAnsi="Arial"/>
          <w:sz w:val="4"/>
          <w:szCs w:val="4"/>
          <w:color w:val="FFFFFF"/>
          <w:vertAlign w:val="subscript"/>
        </w:rPr>
        <w:t>remaining</w:t>
      </w:r>
      <w:r>
        <w:rPr>
          <w:rFonts w:ascii="Arial" w:cs="Arial" w:eastAsia="Arial" w:hAnsi="Arial"/>
          <w:sz w:val="2"/>
          <w:szCs w:val="2"/>
          <w:color w:val="FFFFFF"/>
        </w:rPr>
        <w:t>trackreal-time how much of our pipeline is related to</w:t>
      </w:r>
      <w:r>
        <w:rPr>
          <w:sz w:val="20"/>
          <w:szCs w:val="20"/>
          <w:color w:val="auto"/>
        </w:rPr>
        <w:tab/>
      </w:r>
      <w:r>
        <w:rPr>
          <w:rFonts w:ascii="Arial" w:cs="Arial" w:eastAsia="Arial" w:hAnsi="Arial"/>
          <w:sz w:val="4"/>
          <w:szCs w:val="4"/>
          <w:color w:val="FFFFFF"/>
        </w:rPr>
        <w:t>-19, easily create automated and customized reports, make changes quickly in a constantly-evolving situation, and ensure we</w:t>
      </w:r>
    </w:p>
    <w:p>
      <w:pPr>
        <w:ind w:left="120"/>
        <w:spacing w:after="0"/>
        <w:tabs>
          <w:tab w:leader="none" w:pos="1280" w:val="left"/>
        </w:tabs>
        <w:rPr>
          <w:sz w:val="20"/>
          <w:szCs w:val="20"/>
          <w:color w:val="auto"/>
        </w:rPr>
      </w:pPr>
      <w:r>
        <w:rPr>
          <w:rFonts w:ascii="Arial" w:cs="Arial" w:eastAsia="Arial" w:hAnsi="Arial"/>
          <w:sz w:val="13"/>
          <w:szCs w:val="13"/>
          <w:color w:val="FFFFFF"/>
        </w:rPr>
        <w:t>are always</w:t>
      </w:r>
      <w:r>
        <w:rPr>
          <w:sz w:val="20"/>
          <w:szCs w:val="20"/>
          <w:color w:val="auto"/>
        </w:rPr>
        <w:tab/>
      </w:r>
      <w:r>
        <w:rPr>
          <w:rFonts w:ascii="Arial" w:cs="Arial" w:eastAsia="Arial" w:hAnsi="Arial"/>
          <w:sz w:val="12"/>
          <w:szCs w:val="12"/>
          <w:color w:val="FFFFFF"/>
        </w:rPr>
        <w:t>compliant. The impact this software has had on our business and our customer base is significant.” B R A D T U R N E R E V P A N D C H I E F C R E D I T O F F I C E R</w:t>
      </w:r>
    </w:p>
    <w:p>
      <w:pPr>
        <w:sectPr>
          <w:pgSz w:w="11900" w:h="16838" w:orient="portrait"/>
          <w:cols w:equalWidth="0" w:num="1">
            <w:col w:w="11120"/>
          </w:cols>
          <w:pgMar w:left="320" w:top="459" w:right="459" w:bottom="472"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220345</wp:posOffset>
            </wp:positionV>
            <wp:extent cx="6669405" cy="9103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9405" cy="9103995"/>
                    </a:xfrm>
                    <a:prstGeom prst="rect">
                      <a:avLst/>
                    </a:prstGeom>
                    <a:noFill/>
                  </pic:spPr>
                </pic:pic>
              </a:graphicData>
            </a:graphic>
          </wp:anchor>
        </w:drawing>
      </w:r>
    </w:p>
    <w:p>
      <w:pPr>
        <w:sectPr>
          <w:pgSz w:w="11900" w:h="16838" w:orient="portrait"/>
          <w:cols w:equalWidth="0" w:num="1">
            <w:col w:w="10139"/>
          </w:cols>
          <w:pgMar w:left="320" w:top="459" w:right="1440" w:bottom="7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TRANSFORMING FINANCIAL SERVICES THROUGH INNOVATION, REPUTATION AND SPEED</w:t>
      </w:r>
    </w:p>
    <w:p>
      <w:pPr>
        <w:sectPr>
          <w:pgSz w:w="11900" w:h="16838" w:orient="portrait"/>
          <w:cols w:equalWidth="0" w:num="1">
            <w:col w:w="10139"/>
          </w:cols>
          <w:pgMar w:left="320" w:top="459" w:right="1440" w:bottom="740"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9163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9163685"/>
                    </a:xfrm>
                    <a:prstGeom prst="rect">
                      <a:avLst/>
                    </a:prstGeom>
                    <a:noFill/>
                  </pic:spPr>
                </pic:pic>
              </a:graphicData>
            </a:graphic>
          </wp:anchor>
        </w:drawing>
      </w:r>
    </w:p>
    <w:p>
      <w:pPr>
        <w:sectPr>
          <w:pgSz w:w="11900" w:h="16838" w:orient="portrait"/>
          <w:cols w:equalWidth="0" w:num="1">
            <w:col w:w="11120"/>
          </w:cols>
          <w:pgMar w:left="320" w:top="459" w:right="459" w:bottom="1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1000" w:type="dxa"/>
            <w:vAlign w:val="bottom"/>
            <w:gridSpan w:val="7"/>
          </w:tcPr>
          <w:p>
            <w:pPr>
              <w:spacing w:after="0"/>
              <w:rPr>
                <w:sz w:val="20"/>
                <w:szCs w:val="20"/>
                <w:color w:val="auto"/>
              </w:rPr>
            </w:pPr>
            <w:r>
              <w:rPr>
                <w:rFonts w:ascii="Arial" w:cs="Arial" w:eastAsia="Arial" w:hAnsi="Arial"/>
                <w:sz w:val="13"/>
                <w:szCs w:val="13"/>
                <w:color w:val="FFFFFF"/>
              </w:rPr>
              <w:t>K E Y F I N A N C I A L H I G H L I G H T S Note: Fiscal year end is January 31, 2020. ( 1) Subscription revenue retention rate is calculated as total subscription revenues in a fiscal year from</w:t>
            </w:r>
          </w:p>
        </w:tc>
      </w:tr>
      <w:tr>
        <w:trPr>
          <w:trHeight w:val="41"/>
        </w:trPr>
        <w:tc>
          <w:tcPr>
            <w:tcW w:w="5460" w:type="dxa"/>
            <w:vAlign w:val="bottom"/>
            <w:gridSpan w:val="3"/>
          </w:tcPr>
          <w:p>
            <w:pPr>
              <w:spacing w:after="0" w:line="41" w:lineRule="exact"/>
              <w:rPr>
                <w:sz w:val="20"/>
                <w:szCs w:val="20"/>
                <w:color w:val="auto"/>
              </w:rPr>
            </w:pPr>
            <w:r>
              <w:rPr>
                <w:rFonts w:ascii="Arial" w:cs="Arial" w:eastAsia="Arial" w:hAnsi="Arial"/>
                <w:sz w:val="4"/>
                <w:szCs w:val="4"/>
                <w:color w:val="FFFFFF"/>
              </w:rPr>
              <w:t>customers who purchased any of our solutions as of January 31 of the prior fiscal year, expressed as</w:t>
            </w:r>
          </w:p>
        </w:tc>
        <w:tc>
          <w:tcPr>
            <w:tcW w:w="5540" w:type="dxa"/>
            <w:vAlign w:val="bottom"/>
            <w:gridSpan w:val="4"/>
          </w:tcPr>
          <w:p>
            <w:pPr>
              <w:ind w:left="60"/>
              <w:spacing w:after="0" w:line="41" w:lineRule="exact"/>
              <w:rPr>
                <w:sz w:val="20"/>
                <w:szCs w:val="20"/>
                <w:color w:val="auto"/>
              </w:rPr>
            </w:pPr>
            <w:r>
              <w:rPr>
                <w:rFonts w:ascii="Arial" w:cs="Arial" w:eastAsia="Arial" w:hAnsi="Arial"/>
                <w:sz w:val="4"/>
                <w:szCs w:val="4"/>
                <w:color w:val="FFFFFF"/>
              </w:rPr>
              <w:t>percentage of total subscription revenues for the prior fiscal year. Year-over-year increases in</w:t>
            </w:r>
          </w:p>
        </w:tc>
      </w:tr>
      <w:tr>
        <w:trPr>
          <w:trHeight w:val="40"/>
        </w:trPr>
        <w:tc>
          <w:tcPr>
            <w:tcW w:w="11000" w:type="dxa"/>
            <w:vAlign w:val="bottom"/>
            <w:gridSpan w:val="7"/>
          </w:tcPr>
          <w:p>
            <w:pPr>
              <w:spacing w:after="0" w:line="41" w:lineRule="exact"/>
              <w:rPr>
                <w:sz w:val="20"/>
                <w:szCs w:val="20"/>
                <w:color w:val="auto"/>
              </w:rPr>
            </w:pPr>
            <w:r>
              <w:rPr>
                <w:rFonts w:ascii="Arial" w:cs="Arial" w:eastAsia="Arial" w:hAnsi="Arial"/>
                <w:sz w:val="4"/>
                <w:szCs w:val="4"/>
                <w:color w:val="FFFFFF"/>
              </w:rPr>
              <w:t>subscription revenues from existing customers reflect both the effect of phased activations of originally contracted for seats as well as additional sales to these customers, net of attrition. (2) See Selected</w:t>
            </w:r>
          </w:p>
        </w:tc>
      </w:tr>
      <w:tr>
        <w:trPr>
          <w:trHeight w:val="41"/>
        </w:trPr>
        <w:tc>
          <w:tcPr>
            <w:tcW w:w="11000" w:type="dxa"/>
            <w:vAlign w:val="bottom"/>
            <w:gridSpan w:val="7"/>
          </w:tcPr>
          <w:p>
            <w:pPr>
              <w:spacing w:after="0" w:line="41" w:lineRule="exact"/>
              <w:rPr>
                <w:sz w:val="20"/>
                <w:szCs w:val="20"/>
                <w:color w:val="auto"/>
              </w:rPr>
            </w:pPr>
            <w:r>
              <w:rPr>
                <w:rFonts w:ascii="Arial" w:cs="Arial" w:eastAsia="Arial" w:hAnsi="Arial"/>
                <w:sz w:val="4"/>
                <w:szCs w:val="4"/>
                <w:color w:val="FFFFFF"/>
              </w:rPr>
              <w:t>Consolidated Financial and Other Data¯Non-GAAP Financial Measure for more information. (3) Recurring or subscription revenues consist principally of fees from customers for accessing the nCino</w:t>
            </w:r>
          </w:p>
        </w:tc>
      </w:tr>
      <w:tr>
        <w:trPr>
          <w:trHeight w:val="40"/>
        </w:trPr>
        <w:tc>
          <w:tcPr>
            <w:tcW w:w="9220" w:type="dxa"/>
            <w:vAlign w:val="bottom"/>
            <w:gridSpan w:val="6"/>
          </w:tcPr>
          <w:p>
            <w:pPr>
              <w:spacing w:after="0" w:line="41" w:lineRule="exact"/>
              <w:rPr>
                <w:sz w:val="20"/>
                <w:szCs w:val="20"/>
                <w:color w:val="auto"/>
              </w:rPr>
            </w:pPr>
            <w:r>
              <w:rPr>
                <w:rFonts w:ascii="Arial" w:cs="Arial" w:eastAsia="Arial" w:hAnsi="Arial"/>
                <w:sz w:val="4"/>
                <w:szCs w:val="4"/>
                <w:color w:val="FFFFFF"/>
              </w:rPr>
              <w:t>Bank Operating System and maintenance and support services that we offer under non-cancellable multi-year contracts, which typically range from three to five years. K</w:t>
            </w:r>
          </w:p>
        </w:tc>
        <w:tc>
          <w:tcPr>
            <w:tcW w:w="1780" w:type="dxa"/>
            <w:vAlign w:val="bottom"/>
          </w:tcPr>
          <w:p>
            <w:pPr>
              <w:ind w:left="60"/>
              <w:spacing w:after="0" w:line="41" w:lineRule="exact"/>
              <w:rPr>
                <w:sz w:val="20"/>
                <w:szCs w:val="20"/>
                <w:color w:val="auto"/>
              </w:rPr>
            </w:pPr>
            <w:r>
              <w:rPr>
                <w:rFonts w:ascii="Arial" w:cs="Arial" w:eastAsia="Arial" w:hAnsi="Arial"/>
                <w:sz w:val="4"/>
                <w:szCs w:val="4"/>
                <w:color w:val="FFFFFF"/>
              </w:rPr>
              <w:t>YCOMPA  YHIGHLIG</w:t>
            </w:r>
          </w:p>
        </w:tc>
      </w:tr>
      <w:tr>
        <w:trPr>
          <w:trHeight w:val="41"/>
        </w:trPr>
        <w:tc>
          <w:tcPr>
            <w:tcW w:w="1900" w:type="dxa"/>
            <w:vAlign w:val="bottom"/>
          </w:tcPr>
          <w:p>
            <w:pPr>
              <w:spacing w:after="0" w:line="41" w:lineRule="exact"/>
              <w:rPr>
                <w:sz w:val="20"/>
                <w:szCs w:val="20"/>
                <w:color w:val="auto"/>
              </w:rPr>
            </w:pPr>
            <w:r>
              <w:rPr>
                <w:rFonts w:ascii="Arial" w:cs="Arial" w:eastAsia="Arial" w:hAnsi="Arial"/>
                <w:sz w:val="4"/>
                <w:szCs w:val="4"/>
                <w:color w:val="FFFFFF"/>
              </w:rPr>
              <w:t>H T S NCINO BANK OPERA</w:t>
            </w:r>
          </w:p>
        </w:tc>
        <w:tc>
          <w:tcPr>
            <w:tcW w:w="3560" w:type="dxa"/>
            <w:vAlign w:val="bottom"/>
            <w:gridSpan w:val="2"/>
          </w:tcPr>
          <w:p>
            <w:pPr>
              <w:ind w:left="120"/>
              <w:spacing w:after="0" w:line="41" w:lineRule="exact"/>
              <w:rPr>
                <w:sz w:val="20"/>
                <w:szCs w:val="20"/>
                <w:color w:val="auto"/>
              </w:rPr>
            </w:pPr>
            <w:r>
              <w:rPr>
                <w:rFonts w:ascii="Arial" w:cs="Arial" w:eastAsia="Arial" w:hAnsi="Arial"/>
                <w:sz w:val="4"/>
                <w:szCs w:val="4"/>
                <w:color w:val="FFFFFF"/>
              </w:rPr>
              <w:t>SYSTEM A S INGL E P L AT FORM FOR ONBOARDING,</w:t>
            </w:r>
          </w:p>
        </w:tc>
        <w:tc>
          <w:tcPr>
            <w:tcW w:w="2580" w:type="dxa"/>
            <w:vAlign w:val="bottom"/>
            <w:gridSpan w:val="2"/>
          </w:tcPr>
          <w:p>
            <w:pPr>
              <w:ind w:left="60"/>
              <w:spacing w:after="0" w:line="41" w:lineRule="exact"/>
              <w:rPr>
                <w:sz w:val="20"/>
                <w:szCs w:val="20"/>
                <w:color w:val="auto"/>
              </w:rPr>
            </w:pPr>
            <w:r>
              <w:rPr>
                <w:rFonts w:ascii="Arial" w:cs="Arial" w:eastAsia="Arial" w:hAnsi="Arial"/>
                <w:sz w:val="4"/>
                <w:szCs w:val="4"/>
                <w:color w:val="FFFFFF"/>
              </w:rPr>
              <w:t>OAN ORI G I NAT ION AND ACCOUNT</w:t>
            </w:r>
          </w:p>
        </w:tc>
        <w:tc>
          <w:tcPr>
            <w:tcW w:w="1180" w:type="dxa"/>
            <w:vAlign w:val="bottom"/>
          </w:tcPr>
          <w:p>
            <w:pPr>
              <w:ind w:left="160"/>
              <w:spacing w:after="0" w:line="41" w:lineRule="exact"/>
              <w:rPr>
                <w:sz w:val="20"/>
                <w:szCs w:val="20"/>
                <w:color w:val="auto"/>
              </w:rPr>
            </w:pPr>
            <w:r>
              <w:rPr>
                <w:rFonts w:ascii="Arial" w:cs="Arial" w:eastAsia="Arial" w:hAnsi="Arial"/>
                <w:sz w:val="4"/>
                <w:szCs w:val="4"/>
                <w:color w:val="FFFFFF"/>
              </w:rPr>
              <w:t>N ING</w:t>
            </w:r>
          </w:p>
        </w:tc>
        <w:tc>
          <w:tcPr>
            <w:tcW w:w="1780" w:type="dxa"/>
            <w:vAlign w:val="bottom"/>
          </w:tcPr>
          <w:p>
            <w:pPr>
              <w:ind w:left="500"/>
              <w:spacing w:after="0" w:line="41" w:lineRule="exact"/>
              <w:rPr>
                <w:sz w:val="20"/>
                <w:szCs w:val="20"/>
                <w:color w:val="auto"/>
              </w:rPr>
            </w:pPr>
            <w:r>
              <w:rPr>
                <w:rFonts w:ascii="Arial" w:cs="Arial" w:eastAsia="Arial" w:hAnsi="Arial"/>
                <w:sz w:val="4"/>
                <w:szCs w:val="4"/>
                <w:color w:val="FFFFFF"/>
              </w:rPr>
              <w:t>WI LMINGTON , NC ,</w:t>
            </w:r>
          </w:p>
        </w:tc>
      </w:tr>
      <w:tr>
        <w:trPr>
          <w:trHeight w:val="40"/>
        </w:trPr>
        <w:tc>
          <w:tcPr>
            <w:tcW w:w="1900" w:type="dxa"/>
            <w:vAlign w:val="bottom"/>
          </w:tcPr>
          <w:p>
            <w:pPr>
              <w:spacing w:after="0" w:line="41" w:lineRule="exact"/>
              <w:rPr>
                <w:sz w:val="20"/>
                <w:szCs w:val="20"/>
                <w:color w:val="auto"/>
              </w:rPr>
            </w:pPr>
            <w:r>
              <w:rPr>
                <w:rFonts w:ascii="Arial" w:cs="Arial" w:eastAsia="Arial" w:hAnsi="Arial"/>
                <w:sz w:val="4"/>
                <w:szCs w:val="4"/>
                <w:color w:val="FFFFFF"/>
              </w:rPr>
              <w:t>U SA 1,200+ F INANC IAL INS</w:t>
            </w:r>
          </w:p>
        </w:tc>
        <w:tc>
          <w:tcPr>
            <w:tcW w:w="9100" w:type="dxa"/>
            <w:vAlign w:val="bottom"/>
            <w:gridSpan w:val="6"/>
          </w:tcPr>
          <w:p>
            <w:pPr>
              <w:ind w:left="120"/>
              <w:spacing w:after="0" w:line="41" w:lineRule="exact"/>
              <w:rPr>
                <w:sz w:val="20"/>
                <w:szCs w:val="20"/>
                <w:color w:val="auto"/>
              </w:rPr>
            </w:pPr>
            <w:r>
              <w:rPr>
                <w:rFonts w:ascii="Arial" w:cs="Arial" w:eastAsia="Arial" w:hAnsi="Arial"/>
                <w:sz w:val="4"/>
                <w:szCs w:val="4"/>
                <w:color w:val="FFFFFF"/>
              </w:rPr>
              <w:t>TUT I ONS U S ING N C INO ~1000 PA S S IONAT E EMPLOY E E S ACROS S 7   LOB A L OF F I C OPES~$10B SHEADQUARVIABLTERSADDRES SABL E</w:t>
            </w:r>
          </w:p>
        </w:tc>
      </w:tr>
      <w:tr>
        <w:trPr>
          <w:trHeight w:val="41"/>
        </w:trPr>
        <w:tc>
          <w:tcPr>
            <w:tcW w:w="3960" w:type="dxa"/>
            <w:vAlign w:val="bottom"/>
            <w:gridSpan w:val="2"/>
          </w:tcPr>
          <w:p>
            <w:pPr>
              <w:spacing w:after="0" w:line="41" w:lineRule="exact"/>
              <w:rPr>
                <w:sz w:val="20"/>
                <w:szCs w:val="20"/>
                <w:color w:val="auto"/>
              </w:rPr>
            </w:pPr>
            <w:r>
              <w:rPr>
                <w:rFonts w:ascii="Arial" w:cs="Arial" w:eastAsia="Arial" w:hAnsi="Arial"/>
                <w:sz w:val="4"/>
                <w:szCs w:val="4"/>
                <w:color w:val="FFFFFF"/>
              </w:rPr>
              <w:t>MARKE T 72% R ECUR R INGTINGROS  MARG  N(2) 198 CUS T</w:t>
            </w:r>
          </w:p>
        </w:tc>
        <w:tc>
          <w:tcPr>
            <w:tcW w:w="2060" w:type="dxa"/>
            <w:vAlign w:val="bottom"/>
            <w:gridSpan w:val="2"/>
          </w:tcPr>
          <w:p>
            <w:pPr>
              <w:ind w:left="160"/>
              <w:spacing w:after="0" w:line="41" w:lineRule="exact"/>
              <w:rPr>
                <w:sz w:val="20"/>
                <w:szCs w:val="20"/>
                <w:color w:val="auto"/>
              </w:rPr>
            </w:pPr>
            <w:r>
              <w:rPr>
                <w:rFonts w:ascii="Arial" w:cs="Arial" w:eastAsia="Arial" w:hAnsi="Arial"/>
                <w:sz w:val="4"/>
                <w:szCs w:val="4"/>
                <w:color w:val="FFFFFF"/>
              </w:rPr>
              <w:t>RS PAY ING &gt;$10 0 K PE R Y</w:t>
            </w:r>
          </w:p>
        </w:tc>
        <w:tc>
          <w:tcPr>
            <w:tcW w:w="4980" w:type="dxa"/>
            <w:vAlign w:val="bottom"/>
            <w:gridSpan w:val="3"/>
          </w:tcPr>
          <w:p>
            <w:pPr>
              <w:ind w:left="180"/>
              <w:spacing w:after="0" w:line="41" w:lineRule="exact"/>
              <w:rPr>
                <w:sz w:val="20"/>
                <w:szCs w:val="20"/>
                <w:color w:val="auto"/>
              </w:rPr>
            </w:pPr>
            <w:r>
              <w:rPr>
                <w:rFonts w:ascii="Arial" w:cs="Arial" w:eastAsia="Arial" w:hAnsi="Arial"/>
                <w:sz w:val="4"/>
                <w:szCs w:val="4"/>
                <w:color w:val="FFFFFF"/>
              </w:rPr>
              <w:t>INCLUDING 27 &gt; $1M 54% TOTAL REVENUE COMPOUNDED ANNUAL G</w:t>
            </w:r>
          </w:p>
        </w:tc>
      </w:tr>
      <w:tr>
        <w:trPr>
          <w:trHeight w:val="213"/>
        </w:trPr>
        <w:tc>
          <w:tcPr>
            <w:tcW w:w="9220" w:type="dxa"/>
            <w:vAlign w:val="bottom"/>
            <w:gridSpan w:val="6"/>
          </w:tcPr>
          <w:p>
            <w:pPr>
              <w:spacing w:after="0"/>
              <w:rPr>
                <w:sz w:val="20"/>
                <w:szCs w:val="20"/>
                <w:color w:val="auto"/>
              </w:rPr>
            </w:pPr>
            <w:r>
              <w:rPr>
                <w:rFonts w:ascii="Arial" w:cs="Arial" w:eastAsia="Arial" w:hAnsi="Arial"/>
                <w:sz w:val="13"/>
                <w:szCs w:val="13"/>
                <w:color w:val="FFFFFF"/>
                <w:w w:val="96"/>
              </w:rPr>
              <w:t>ROWTH R AT E 147% F Y 2020 SUBSCRI P T ION R E VENUE R OMETENT ION R AT E ( 1) 68% R ECURAR ING SUB SCRI P T ION RE VENUE( 3 ) G ROWTH</w:t>
            </w:r>
          </w:p>
        </w:tc>
        <w:tc>
          <w:tcPr>
            <w:tcW w:w="1780" w:type="dxa"/>
            <w:vAlign w:val="bottom"/>
          </w:tcPr>
          <w:p>
            <w:pPr>
              <w:spacing w:after="0"/>
              <w:rPr>
                <w:sz w:val="18"/>
                <w:szCs w:val="18"/>
                <w:color w:val="auto"/>
              </w:rPr>
            </w:pPr>
          </w:p>
        </w:tc>
      </w:tr>
    </w:tbl>
    <w:p>
      <w:pPr>
        <w:sectPr>
          <w:pgSz w:w="11900" w:h="16838" w:orient="portrait"/>
          <w:cols w:equalWidth="0" w:num="1">
            <w:col w:w="11120"/>
          </w:cols>
          <w:pgMar w:left="320" w:top="459" w:right="459" w:bottom="167"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64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640" w:type="dxa"/>
            <w:vAlign w:val="bottom"/>
            <w:vMerge w:val="restart"/>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Cautionary Note Regarding 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Market, Industry and Other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Selected Consolidated Financial and Other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Principal and Selling Stockholders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Material U.S. Federal Income Tax Consequences to Non-U.S. Holders of Our Common Stock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Underwriting</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Where You Can Find Additional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30"/>
        </w:trPr>
        <w:tc>
          <w:tcPr>
            <w:tcW w:w="10640" w:type="dxa"/>
            <w:vAlign w:val="bottom"/>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Index to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b w:val="1"/>
          <w:bCs w:val="1"/>
          <w:color w:val="auto"/>
        </w:rPr>
        <w:t>You should rely only on the information contained in this document or to which we have referred you. Neither we, the selling stockholders nor any of the underwriters have authorized anyone to provide you with information that is different than that in this document. This document may only be used in jurisdictions where it is legal to sell these securities. The information in this document may only be accurate as of the date of this document or such other date set forth in this document, regardless of the time of delivery of this prospectus or of any sale of shares of our common stock,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17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stock and the distribution of this prospectus outside of the United States.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Our fiscal year ends on January 31 of each year and references in this prospectus to a fiscal year mean the year in which that fiscal year ends. Accordingly, references in this prospectus to “fiscal 2018,” “fiscal 2019,” and “fiscal 2020” refer to the fiscal year ended January 31, 2018, January 31, 2019 and January 31, 2020, respectively.</w:t>
      </w:r>
    </w:p>
    <w:p>
      <w:pPr>
        <w:spacing w:after="0" w:line="184" w:lineRule="exact"/>
        <w:rPr>
          <w:sz w:val="20"/>
          <w:szCs w:val="20"/>
          <w:color w:val="auto"/>
        </w:rPr>
      </w:pPr>
    </w:p>
    <w:p>
      <w:pPr>
        <w:ind w:left="120" w:right="320" w:firstLine="881"/>
        <w:spacing w:after="0" w:line="308" w:lineRule="auto"/>
        <w:rPr>
          <w:sz w:val="20"/>
          <w:szCs w:val="20"/>
          <w:color w:val="auto"/>
        </w:rPr>
      </w:pPr>
      <w:r>
        <w:rPr>
          <w:rFonts w:ascii="Arial" w:cs="Arial" w:eastAsia="Arial" w:hAnsi="Arial"/>
          <w:sz w:val="17"/>
          <w:szCs w:val="17"/>
          <w:color w:val="auto"/>
        </w:rPr>
        <w:t>In this prospectus, when we refer to “Annual Contract Value” or “ACV” for any customer for any given period, we mean the annualized subscription fees from fully-activated subscription contracts in effect for such customers at the end of the applicable period.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75"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you should consider before buying shares in this offering. Therefore,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deciding whether to purchase our common stock. Unless the context requires otherwise, the words “we,” “us,” “our,” and “the Company” refer to nCino, Inc. and its subsidiaries.</w:t>
      </w:r>
    </w:p>
    <w:p>
      <w:pPr>
        <w:spacing w:after="0" w:line="1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Our mission is to transform financial services through innovation, reputation and speed.</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40" w:firstLine="852"/>
        <w:spacing w:after="0" w:line="270" w:lineRule="auto"/>
        <w:rPr>
          <w:sz w:val="20"/>
          <w:szCs w:val="20"/>
          <w:color w:val="auto"/>
        </w:rPr>
      </w:pPr>
      <w:r>
        <w:rPr>
          <w:rFonts w:ascii="Arial" w:cs="Arial" w:eastAsia="Arial" w:hAnsi="Arial"/>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81" w:lineRule="exact"/>
        <w:rPr>
          <w:sz w:val="20"/>
          <w:szCs w:val="20"/>
          <w:color w:val="auto"/>
        </w:rPr>
      </w:pPr>
    </w:p>
    <w:p>
      <w:pPr>
        <w:ind w:left="300" w:right="60" w:firstLine="852"/>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540" w:hanging="29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jc w:val="both"/>
        <w:ind w:left="300" w:right="40" w:firstLine="852"/>
        <w:spacing w:after="0" w:line="279"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5" w:lineRule="auto"/>
        <w:rPr>
          <w:sz w:val="20"/>
          <w:szCs w:val="20"/>
          <w:color w:val="auto"/>
        </w:rPr>
      </w:pPr>
      <w:r>
        <w:rPr>
          <w:rFonts w:ascii="Arial" w:cs="Arial" w:eastAsia="Arial" w:hAnsi="Arial"/>
          <w:sz w:val="18"/>
          <w:szCs w:val="18"/>
          <w:color w:val="auto"/>
        </w:rPr>
        <w:t>regional banks. We introduced our solution to enterprise banks in the United States in 2014, and then internationally in 2017, and have subsequently expanded across North America, Europe and Asia-Pacific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systems integrators (“SIs”) to help implement our solution, which has increased our capacity to deliver and deploy the nCino Bank Operating System and enabled us to scale more quickly.</w:t>
      </w:r>
    </w:p>
    <w:p>
      <w:pPr>
        <w:spacing w:after="0" w:line="192"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 connects the front, middle and back office employees of a financial institution with clients and third parties across lines of business. We deliver data analytics and AI/ML capabilities through our nCino IQ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85" w:lineRule="exact"/>
        <w:rPr>
          <w:sz w:val="20"/>
          <w:szCs w:val="20"/>
          <w:color w:val="auto"/>
        </w:rPr>
      </w:pPr>
    </w:p>
    <w:p>
      <w:pPr>
        <w:ind w:left="300" w:firstLine="852"/>
        <w:spacing w:after="0" w:line="254" w:lineRule="auto"/>
        <w:rPr>
          <w:sz w:val="20"/>
          <w:szCs w:val="20"/>
          <w:color w:val="auto"/>
        </w:rPr>
      </w:pPr>
      <w:r>
        <w:rPr>
          <w:rFonts w:ascii="Arial" w:cs="Arial" w:eastAsia="Arial" w:hAnsi="Arial"/>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95" w:lineRule="exact"/>
        <w:rPr>
          <w:sz w:val="20"/>
          <w:szCs w:val="20"/>
          <w:color w:val="auto"/>
        </w:rPr>
      </w:pPr>
    </w:p>
    <w:p>
      <w:pPr>
        <w:ind w:left="300" w:right="80" w:firstLine="852"/>
        <w:spacing w:after="0" w:line="257" w:lineRule="auto"/>
        <w:rPr>
          <w:sz w:val="20"/>
          <w:szCs w:val="20"/>
          <w:color w:val="auto"/>
        </w:rPr>
      </w:pPr>
      <w:r>
        <w:rPr>
          <w:rFonts w:ascii="Arial" w:cs="Arial" w:eastAsia="Arial" w:hAnsi="Arial"/>
          <w:sz w:val="18"/>
          <w:szCs w:val="18"/>
          <w:color w:val="auto"/>
        </w:rPr>
        <w:t>The nCino Bank Operating System serves a large addressable market opportunity globally as financial institutions make significant investments in information technology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88" w:lineRule="exact"/>
        <w:rPr>
          <w:sz w:val="20"/>
          <w:szCs w:val="20"/>
          <w:color w:val="auto"/>
        </w:rPr>
      </w:pPr>
    </w:p>
    <w:p>
      <w:pPr>
        <w:ind w:left="300" w:right="20" w:firstLine="852"/>
        <w:spacing w:after="0" w:line="254" w:lineRule="auto"/>
        <w:rPr>
          <w:sz w:val="20"/>
          <w:szCs w:val="20"/>
          <w:color w:val="auto"/>
        </w:rPr>
      </w:pPr>
      <w:r>
        <w:rPr>
          <w:rFonts w:ascii="Arial" w:cs="Arial" w:eastAsia="Arial" w:hAnsi="Arial"/>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such as ConnectOne Bank, IBERIABANK,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represents a substantial level of ACV in its respective category.</w:t>
      </w:r>
    </w:p>
    <w:p>
      <w:pPr>
        <w:spacing w:after="0" w:line="195"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As of July 31, 2020, we had over 305 financial institutions that utilized the nCino Bank Operating System for client onboarding, loan origination and/or deposit account opening, of which 198 each generated more than $100,000 in subscription revenues for the twelve months ended July 31, 2020. In addition, we have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79" w:lineRule="auto"/>
        <w:rPr>
          <w:sz w:val="20"/>
          <w:szCs w:val="20"/>
          <w:color w:val="auto"/>
        </w:rPr>
      </w:pPr>
      <w:r>
        <w:rPr>
          <w:rFonts w:ascii="Arial" w:cs="Arial" w:eastAsia="Arial" w:hAnsi="Arial"/>
          <w:sz w:val="17"/>
          <w:szCs w:val="17"/>
          <w:color w:val="auto"/>
        </w:rPr>
        <w:t>over 920 financial institutions that use the portfolio analytics solution we acquired with the Visible Equity acquisition in fiscal 2020, which is now part of nIQ. In total, we had over 1,225 financial institution customers as of July 31, 2020. For fiscal 2020, we had a subscription revenue retention rate of 147%. See “Management’s Discussion and Analysis of Financial Condition and Results of Operations—Factors Affecting Our Operating Results—Subscription Revenue Retention Rate” for additional information on subscription revenue retention rates.</w:t>
      </w:r>
    </w:p>
    <w:p>
      <w:pPr>
        <w:spacing w:after="0" w:line="171" w:lineRule="exact"/>
        <w:rPr>
          <w:sz w:val="20"/>
          <w:szCs w:val="20"/>
          <w:color w:val="auto"/>
        </w:rPr>
      </w:pPr>
    </w:p>
    <w:p>
      <w:pPr>
        <w:ind w:left="300" w:firstLine="852"/>
        <w:spacing w:after="0" w:line="286" w:lineRule="auto"/>
        <w:rPr>
          <w:sz w:val="20"/>
          <w:szCs w:val="20"/>
          <w:color w:val="auto"/>
        </w:rPr>
      </w:pPr>
      <w:r>
        <w:rPr>
          <w:rFonts w:ascii="Arial" w:cs="Arial" w:eastAsia="Arial" w:hAnsi="Arial"/>
          <w:sz w:val="16"/>
          <w:szCs w:val="16"/>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w:t>
      </w:r>
    </w:p>
    <w:p>
      <w:pPr>
        <w:spacing w:after="0" w:line="1" w:lineRule="exact"/>
        <w:rPr>
          <w:sz w:val="20"/>
          <w:szCs w:val="20"/>
          <w:color w:val="auto"/>
        </w:rPr>
      </w:pPr>
    </w:p>
    <w:p>
      <w:pPr>
        <w:ind w:left="300" w:right="160"/>
        <w:spacing w:after="0" w:line="271" w:lineRule="auto"/>
        <w:rPr>
          <w:sz w:val="20"/>
          <w:szCs w:val="20"/>
          <w:color w:val="auto"/>
        </w:rPr>
      </w:pPr>
      <w:r>
        <w:rPr>
          <w:rFonts w:ascii="Arial" w:cs="Arial" w:eastAsia="Arial" w:hAnsi="Arial"/>
          <w:sz w:val="17"/>
          <w:szCs w:val="17"/>
          <w:color w:val="auto"/>
        </w:rPr>
        <w:t>$64.5 million and $38.0 million for fiscal 2020, 2019 and 2018, respectively, representing a 64.7% compound annual growth rate. Net losses attributable to nCino for fiscal 2020, 2019 and 2018 were $27.6 million, $22.3 million and $18.6 million, respectively. For the six months ended July 31, 2020 and 2019, our total revenues were $93.5 million and $61.8 million, respectively, representing a 51.2% annual growth rate, and our subscription revenues were $74.2 million and $44.1 million, respectively, representing a 68.1% annual growth rate. We had net losses attributable to nCino of $19.4 million and $11.9 million for the six months ended July 31, 2020 and 2019, respectively.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300" w:right="60" w:firstLine="852"/>
        <w:spacing w:after="0" w:line="290" w:lineRule="auto"/>
        <w:rPr>
          <w:sz w:val="20"/>
          <w:szCs w:val="20"/>
          <w:color w:val="auto"/>
        </w:rPr>
      </w:pPr>
      <w:r>
        <w:rPr>
          <w:rFonts w:ascii="Arial" w:cs="Arial" w:eastAsia="Arial" w:hAnsi="Arial"/>
          <w:sz w:val="16"/>
          <w:szCs w:val="16"/>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Institution Clients Increasingly Demand a Seamless, Modern and Transparent Experience</w:t>
      </w:r>
    </w:p>
    <w:p>
      <w:pPr>
        <w:spacing w:after="0" w:line="225" w:lineRule="exact"/>
        <w:rPr>
          <w:sz w:val="20"/>
          <w:szCs w:val="20"/>
          <w:color w:val="auto"/>
        </w:rPr>
      </w:pPr>
    </w:p>
    <w:p>
      <w:pPr>
        <w:jc w:val="both"/>
        <w:ind w:left="300" w:right="60" w:firstLine="852"/>
        <w:spacing w:after="0" w:line="286" w:lineRule="auto"/>
        <w:rPr>
          <w:sz w:val="20"/>
          <w:szCs w:val="20"/>
          <w:color w:val="auto"/>
        </w:rPr>
      </w:pPr>
      <w:r>
        <w:rPr>
          <w:rFonts w:ascii="Arial" w:cs="Arial" w:eastAsia="Arial" w:hAnsi="Arial"/>
          <w:sz w:val="16"/>
          <w:szCs w:val="16"/>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PricewaterhouseCoopers (“PwC”) survey, there has been a 21% increase since 2015 in consumers who use financial institutions that place more importance on experiential factors than interest rates.</w:t>
      </w:r>
    </w:p>
    <w:p>
      <w:pPr>
        <w:spacing w:after="0" w:line="1" w:lineRule="exact"/>
        <w:rPr>
          <w:sz w:val="20"/>
          <w:szCs w:val="20"/>
          <w:color w:val="auto"/>
        </w:rPr>
      </w:pPr>
    </w:p>
    <w:p>
      <w:pPr>
        <w:ind w:left="300" w:right="200"/>
        <w:spacing w:after="0" w:line="292" w:lineRule="auto"/>
        <w:rPr>
          <w:sz w:val="20"/>
          <w:szCs w:val="20"/>
          <w:color w:val="auto"/>
        </w:rPr>
      </w:pPr>
      <w:r>
        <w:rPr>
          <w:rFonts w:ascii="Arial" w:cs="Arial" w:eastAsia="Arial" w:hAnsi="Arial"/>
          <w:sz w:val="16"/>
          <w:szCs w:val="16"/>
          <w:color w:val="auto"/>
        </w:rPr>
        <w:t>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Digital Transformation is Driving Financial Institution Technology Spend Even Higher</w:t>
      </w:r>
    </w:p>
    <w:p>
      <w:pPr>
        <w:spacing w:after="0" w:line="225" w:lineRule="exact"/>
        <w:rPr>
          <w:sz w:val="20"/>
          <w:szCs w:val="20"/>
          <w:color w:val="auto"/>
        </w:rPr>
      </w:pPr>
    </w:p>
    <w:p>
      <w:pPr>
        <w:ind w:left="300" w:right="60" w:firstLine="852"/>
        <w:spacing w:after="0" w:line="290" w:lineRule="auto"/>
        <w:rPr>
          <w:sz w:val="20"/>
          <w:szCs w:val="20"/>
          <w:color w:val="auto"/>
        </w:rPr>
      </w:pPr>
      <w:r>
        <w:rPr>
          <w:rFonts w:ascii="Arial" w:cs="Arial" w:eastAsia="Arial" w:hAnsi="Arial"/>
          <w:sz w:val="16"/>
          <w:szCs w:val="16"/>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planned to increase their technology budgets by at 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Institutions Face Increased Regulatory Scrutiny</w:t>
      </w:r>
    </w:p>
    <w:p>
      <w:pPr>
        <w:spacing w:after="0" w:line="225" w:lineRule="exact"/>
        <w:rPr>
          <w:sz w:val="20"/>
          <w:szCs w:val="20"/>
          <w:color w:val="auto"/>
        </w:rPr>
      </w:pPr>
    </w:p>
    <w:p>
      <w:pPr>
        <w:ind w:left="300" w:firstLine="852"/>
        <w:spacing w:after="0" w:line="271" w:lineRule="auto"/>
        <w:rPr>
          <w:sz w:val="20"/>
          <w:szCs w:val="20"/>
          <w:color w:val="auto"/>
        </w:rPr>
      </w:pPr>
      <w:r>
        <w:rPr>
          <w:rFonts w:ascii="Arial" w:cs="Arial" w:eastAsia="Arial" w:hAnsi="Arial"/>
          <w:sz w:val="17"/>
          <w:szCs w:val="17"/>
          <w:color w:val="auto"/>
        </w:rPr>
        <w:t>Financial institutions are facing ever increasing regulatory requirements. The Dodd-Frank Wall Street Reform and Consumer Protection Act, the Basel capital requirement standards and the Current Expected Credit Loss (“CECL”) accounting standard have imposed stringent regulations pertaining to capital and leverage ratios and how financial institutions are required to estimate allowances for credit losses. Additionally, increased privacy regulations, such as the European Union’s General Data Protection Regulation (“GDPR”) and the California Consumer Privacy Act (“CCPA”), have imposed tougher data protection requirements. According to a Thomson Reuters report, compliance costs for financial institutions have increased 13% year over 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Shift to Automation and Data-Driven Banking</w:t>
      </w:r>
    </w:p>
    <w:p>
      <w:pPr>
        <w:spacing w:after="0" w:line="225" w:lineRule="exact"/>
        <w:rPr>
          <w:sz w:val="20"/>
          <w:szCs w:val="20"/>
          <w:color w:val="auto"/>
        </w:rPr>
      </w:pPr>
    </w:p>
    <w:p>
      <w:pPr>
        <w:ind w:left="300" w:right="700" w:firstLine="852"/>
        <w:spacing w:after="0" w:line="277" w:lineRule="auto"/>
        <w:rPr>
          <w:sz w:val="20"/>
          <w:szCs w:val="20"/>
          <w:color w:val="auto"/>
        </w:rPr>
      </w:pPr>
      <w:r>
        <w:rPr>
          <w:rFonts w:ascii="Arial" w:cs="Arial" w:eastAsia="Arial" w:hAnsi="Arial"/>
          <w:sz w:val="18"/>
          <w:szCs w:val="18"/>
          <w:color w:val="auto"/>
        </w:rPr>
        <w:t>To accelerate digital transformation, financial institutions are focusing their technology investments on automation, actionable intelligence, predictive analytics and AI/ML.</w:t>
      </w:r>
    </w:p>
    <w:p>
      <w:pPr>
        <w:spacing w:after="0" w:line="197" w:lineRule="exact"/>
        <w:rPr>
          <w:sz w:val="20"/>
          <w:szCs w:val="20"/>
          <w:color w:val="auto"/>
        </w:rPr>
      </w:pPr>
    </w:p>
    <w:p>
      <w:pPr>
        <w:jc w:val="both"/>
        <w:ind w:left="1540" w:right="120" w:hanging="297"/>
        <w:spacing w:after="0" w:line="311"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Automation. </w:t>
      </w:r>
      <w:r>
        <w:rPr>
          <w:rFonts w:ascii="Arial" w:cs="Arial" w:eastAsia="Arial" w:hAnsi="Arial"/>
          <w:sz w:val="16"/>
          <w:szCs w:val="16"/>
          <w:color w:val="auto"/>
        </w:rPr>
        <w:t>Financial institutions are marrying digital technologies and data to modernize and automate what were traditionally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75" w:lineRule="exact"/>
        <w:rPr>
          <w:rFonts w:ascii="Arial" w:cs="Arial" w:eastAsia="Arial" w:hAnsi="Arial"/>
          <w:sz w:val="16"/>
          <w:szCs w:val="16"/>
          <w:color w:val="auto"/>
        </w:rPr>
      </w:pPr>
    </w:p>
    <w:p>
      <w:pPr>
        <w:ind w:left="1540" w:right="620" w:hanging="297"/>
        <w:spacing w:after="0" w:line="342"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Actionable Intelligence. </w:t>
      </w:r>
      <w:r>
        <w:rPr>
          <w:rFonts w:ascii="Arial" w:cs="Arial" w:eastAsia="Arial" w:hAnsi="Arial"/>
          <w:sz w:val="16"/>
          <w:szCs w:val="16"/>
          <w:color w:val="auto"/>
        </w:rPr>
        <w:t>Actionable intelligence technology offers the ability to synthesize disparate data sets into unified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reportable information and provides a recommended course of action to make more informed real-time decisions.</w:t>
      </w:r>
    </w:p>
    <w:p>
      <w:pPr>
        <w:spacing w:after="0" w:line="150" w:lineRule="exact"/>
        <w:rPr>
          <w:rFonts w:ascii="Arial" w:cs="Arial" w:eastAsia="Arial" w:hAnsi="Arial"/>
          <w:sz w:val="16"/>
          <w:szCs w:val="16"/>
          <w:color w:val="auto"/>
        </w:rPr>
      </w:pPr>
    </w:p>
    <w:p>
      <w:pPr>
        <w:jc w:val="both"/>
        <w:ind w:left="1540" w:right="280" w:hanging="297"/>
        <w:spacing w:after="0" w:line="311"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Predictive Analytics. </w:t>
      </w:r>
      <w:r>
        <w:rPr>
          <w:rFonts w:ascii="Arial" w:cs="Arial" w:eastAsia="Arial" w:hAnsi="Arial"/>
          <w:sz w:val="16"/>
          <w:szCs w:val="16"/>
          <w:color w:val="auto"/>
        </w:rPr>
        <w:t>Predictive analytics use cases in financial services include predicting fraud, modeling risk, personalizing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predicting client lifetime value, segmenting clients, enabling recommendation engines, predicting loan defaults and improving client support. The financial and operational benefits of these use cases can be substantial.</w:t>
      </w:r>
    </w:p>
    <w:p>
      <w:pPr>
        <w:spacing w:after="0" w:line="175" w:lineRule="exact"/>
        <w:rPr>
          <w:rFonts w:ascii="Arial" w:cs="Arial" w:eastAsia="Arial" w:hAnsi="Arial"/>
          <w:sz w:val="16"/>
          <w:szCs w:val="16"/>
          <w:color w:val="auto"/>
        </w:rPr>
      </w:pPr>
    </w:p>
    <w:p>
      <w:pPr>
        <w:ind w:left="1540" w:right="40" w:hanging="297"/>
        <w:spacing w:after="0" w:line="279" w:lineRule="auto"/>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AI/ML. </w:t>
      </w:r>
      <w:r>
        <w:rPr>
          <w:rFonts w:ascii="Arial" w:cs="Arial" w:eastAsia="Arial" w:hAnsi="Arial"/>
          <w:sz w:val="17"/>
          <w:szCs w:val="17"/>
          <w:color w:val="auto"/>
        </w:rPr>
        <w:t>AI/ML can be used to continually improve operating results by, for example, modeling credit exposure and estimating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Benefits of the nCino Bank Operating System</w:t>
      </w:r>
    </w:p>
    <w:p>
      <w:pPr>
        <w:spacing w:after="0" w:line="229" w:lineRule="exact"/>
        <w:rPr>
          <w:sz w:val="20"/>
          <w:szCs w:val="20"/>
          <w:color w:val="auto"/>
        </w:rPr>
      </w:pPr>
    </w:p>
    <w:p>
      <w:pPr>
        <w:ind w:left="300" w:right="20" w:firstLine="852"/>
        <w:spacing w:after="0" w:line="257" w:lineRule="auto"/>
        <w:rPr>
          <w:sz w:val="20"/>
          <w:szCs w:val="20"/>
          <w:color w:val="auto"/>
        </w:rPr>
      </w:pPr>
      <w:r>
        <w:rPr>
          <w:rFonts w:ascii="Arial" w:cs="Arial" w:eastAsia="Arial" w:hAnsi="Arial"/>
          <w:sz w:val="18"/>
          <w:szCs w:val="18"/>
          <w:color w:val="auto"/>
        </w:rPr>
        <w:t>The nCino Bank Operating System is a single, multi-tenant cloud platform that digitizes client onboarding, loan origination and deposit account opening across commercial, small business and retail lines of 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215" w:lineRule="exact"/>
        <w:rPr>
          <w:sz w:val="20"/>
          <w:szCs w:val="20"/>
          <w:color w:val="auto"/>
        </w:rPr>
      </w:pPr>
    </w:p>
    <w:p>
      <w:pPr>
        <w:ind w:left="1540" w:right="60" w:hanging="297"/>
        <w:spacing w:after="0" w:line="296" w:lineRule="auto"/>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Digitally Serve Their Clients Across Commercial, Small Business and Retail Lines of Business. </w:t>
      </w:r>
      <w:r>
        <w:rPr>
          <w:rFonts w:ascii="Arial" w:cs="Arial" w:eastAsia="Arial" w:hAnsi="Arial"/>
          <w:sz w:val="16"/>
          <w:szCs w:val="16"/>
          <w:color w:val="auto"/>
        </w:rPr>
        <w:t>The nCino Bank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188" w:lineRule="exact"/>
        <w:rPr>
          <w:rFonts w:ascii="Arial" w:cs="Arial" w:eastAsia="Arial" w:hAnsi="Arial"/>
          <w:sz w:val="16"/>
          <w:szCs w:val="16"/>
          <w:color w:val="auto"/>
        </w:rPr>
      </w:pPr>
    </w:p>
    <w:p>
      <w:pPr>
        <w:ind w:left="1540" w:hanging="297"/>
        <w:spacing w:after="0" w:line="273" w:lineRule="auto"/>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 Financial Results. </w:t>
      </w:r>
      <w:r>
        <w:rPr>
          <w:rFonts w:ascii="Arial" w:cs="Arial" w:eastAsia="Arial" w:hAnsi="Arial"/>
          <w:sz w:val="17"/>
          <w:szCs w:val="17"/>
          <w:color w:val="auto"/>
        </w:rPr>
        <w:t>Our customers leverage nCino’s capabilities to drive revenue growth by digitally expanding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04" w:lineRule="exact"/>
        <w:rPr>
          <w:rFonts w:ascii="Arial" w:cs="Arial" w:eastAsia="Arial" w:hAnsi="Arial"/>
          <w:sz w:val="17"/>
          <w:szCs w:val="17"/>
          <w:color w:val="auto"/>
        </w:rPr>
      </w:pPr>
    </w:p>
    <w:p>
      <w:pPr>
        <w:ind w:left="1540" w:hanging="297"/>
        <w:spacing w:after="0" w:line="259"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Operate More Efficiently. </w:t>
      </w:r>
      <w:r>
        <w:rPr>
          <w:rFonts w:ascii="Arial" w:cs="Arial" w:eastAsia="Arial" w:hAnsi="Arial"/>
          <w:sz w:val="18"/>
          <w:szCs w:val="18"/>
          <w:color w:val="auto"/>
        </w:rPr>
        <w:t>Utilizing the nCino Bank Operating System’s automation, workflow and digitization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213" w:lineRule="exact"/>
        <w:rPr>
          <w:rFonts w:ascii="Arial" w:cs="Arial" w:eastAsia="Arial" w:hAnsi="Arial"/>
          <w:sz w:val="18"/>
          <w:szCs w:val="18"/>
          <w:color w:val="auto"/>
        </w:rPr>
      </w:pPr>
    </w:p>
    <w:p>
      <w:pPr>
        <w:ind w:left="1540" w:right="80" w:hanging="297"/>
        <w:spacing w:after="0" w:line="25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 Risk and Compliance More Effectively. </w:t>
      </w:r>
      <w:r>
        <w:rPr>
          <w:rFonts w:ascii="Arial" w:cs="Arial" w:eastAsia="Arial" w:hAnsi="Arial"/>
          <w:sz w:val="18"/>
          <w:szCs w:val="18"/>
          <w:color w:val="auto"/>
        </w:rPr>
        <w:t>The nCino Bank Operating System helps financial institutions reduce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214" w:lineRule="exact"/>
        <w:rPr>
          <w:rFonts w:ascii="Arial" w:cs="Arial" w:eastAsia="Arial" w:hAnsi="Arial"/>
          <w:sz w:val="18"/>
          <w:szCs w:val="18"/>
          <w:color w:val="auto"/>
        </w:rPr>
      </w:pPr>
    </w:p>
    <w:p>
      <w:pPr>
        <w:ind w:left="1540" w:right="120" w:hanging="297"/>
        <w:spacing w:after="0" w:line="255"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a Data, Audit and Business Intelligence Hub</w:t>
      </w:r>
      <w:r>
        <w:rPr>
          <w:rFonts w:ascii="Arial" w:cs="Arial" w:eastAsia="Arial" w:hAnsi="Arial"/>
          <w:sz w:val="18"/>
          <w:szCs w:val="18"/>
          <w:color w:val="auto"/>
        </w:rPr>
        <w:t>. With an open application program interface (“API”)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framework and integrations with third-party 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left="300" w:right="140" w:firstLine="852"/>
        <w:spacing w:after="0" w:line="277" w:lineRule="auto"/>
        <w:rPr>
          <w:sz w:val="20"/>
          <w:szCs w:val="20"/>
          <w:color w:val="auto"/>
        </w:rPr>
      </w:pPr>
      <w:r>
        <w:rPr>
          <w:rFonts w:ascii="Arial" w:cs="Arial" w:eastAsia="Arial" w:hAnsi="Arial"/>
          <w:sz w:val="18"/>
          <w:szCs w:val="18"/>
          <w:color w:val="auto"/>
        </w:rPr>
        <w:t>We believe our position as a leading global provider of cloud banking software for financial institutions is built on a foundation of the following strengths:</w:t>
      </w:r>
    </w:p>
    <w:p>
      <w:pPr>
        <w:spacing w:after="0" w:line="197" w:lineRule="exact"/>
        <w:rPr>
          <w:sz w:val="20"/>
          <w:szCs w:val="20"/>
          <w:color w:val="auto"/>
        </w:rPr>
      </w:pPr>
    </w:p>
    <w:p>
      <w:pPr>
        <w:ind w:left="1540" w:right="300" w:hanging="297"/>
        <w:spacing w:after="0" w:line="259"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by Bankers for Bankers. </w:t>
      </w:r>
      <w:r>
        <w:rPr>
          <w:rFonts w:ascii="Arial" w:cs="Arial" w:eastAsia="Arial" w:hAnsi="Arial"/>
          <w:sz w:val="18"/>
          <w:szCs w:val="18"/>
          <w:color w:val="auto"/>
        </w:rPr>
        <w:t>Our company was started by banking professionals who recognized the need for a single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address the endemic challenges faced by financial 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213" w:lineRule="exact"/>
        <w:rPr>
          <w:rFonts w:ascii="Arial" w:cs="Arial" w:eastAsia="Arial" w:hAnsi="Arial"/>
          <w:sz w:val="18"/>
          <w:szCs w:val="18"/>
          <w:color w:val="auto"/>
        </w:rPr>
      </w:pPr>
    </w:p>
    <w:p>
      <w:pPr>
        <w:ind w:left="1540" w:right="100" w:hanging="297"/>
        <w:spacing w:after="0" w:line="301" w:lineRule="auto"/>
        <w:tabs>
          <w:tab w:leader="none" w:pos="15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Cloud Banking Technology Pioneer and Market Leader. </w:t>
      </w:r>
      <w:r>
        <w:rPr>
          <w:rFonts w:ascii="Arial" w:cs="Arial" w:eastAsia="Arial" w:hAnsi="Arial"/>
          <w:sz w:val="16"/>
          <w:szCs w:val="16"/>
          <w:color w:val="auto"/>
        </w:rPr>
        <w:t>The nCino Bank Operating System was developed from inception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184" w:lineRule="exact"/>
        <w:rPr>
          <w:rFonts w:ascii="Arial" w:cs="Arial" w:eastAsia="Arial" w:hAnsi="Arial"/>
          <w:sz w:val="16"/>
          <w:szCs w:val="16"/>
          <w:color w:val="auto"/>
        </w:rPr>
      </w:pPr>
    </w:p>
    <w:p>
      <w:pPr>
        <w:ind w:left="1540" w:hanging="297"/>
        <w:spacing w:after="0" w:line="259"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SaaS Platform. </w:t>
      </w:r>
      <w:r>
        <w:rPr>
          <w:rFonts w:ascii="Arial" w:cs="Arial" w:eastAsia="Arial" w:hAnsi="Arial"/>
          <w:sz w:val="18"/>
          <w:szCs w:val="18"/>
          <w:color w:val="auto"/>
        </w:rPr>
        <w:t>We deliver a single SaaS platform that spans business lines and replaces point and other legacy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client onboarding, loan origination and deposit account opening. This approach allows financial institutions to leverage common data sets and workflow across lines of business, providing a consistent and engaging digital experience for employees and clients and a more comprehensive view of client relationships.</w:t>
      </w:r>
    </w:p>
    <w:p>
      <w:pPr>
        <w:spacing w:after="0" w:line="213" w:lineRule="exact"/>
        <w:rPr>
          <w:rFonts w:ascii="Arial" w:cs="Arial" w:eastAsia="Arial" w:hAnsi="Arial"/>
          <w:sz w:val="18"/>
          <w:szCs w:val="18"/>
          <w:color w:val="auto"/>
        </w:rPr>
      </w:pPr>
    </w:p>
    <w:p>
      <w:pPr>
        <w:jc w:val="both"/>
        <w:ind w:left="1540" w:hanging="297"/>
        <w:spacing w:after="0" w:line="259"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Measurable Return on Investment. </w:t>
      </w:r>
      <w:r>
        <w:rPr>
          <w:rFonts w:ascii="Arial" w:cs="Arial" w:eastAsia="Arial" w:hAnsi="Arial"/>
          <w:sz w:val="18"/>
          <w:szCs w:val="18"/>
          <w:color w:val="auto"/>
        </w:rPr>
        <w:t>The nCino Bank Operating System provides quantifiable results for our customers,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client growth and retention, loan volume and efficiency and reduced loan closing times, policy exceptions and operating costs. Our solution empowers our customers with data driven, real-time insights into their business performance, enabling them to better measure and manage their operations.</w:t>
      </w:r>
    </w:p>
    <w:p>
      <w:pPr>
        <w:spacing w:after="0" w:line="213" w:lineRule="exact"/>
        <w:rPr>
          <w:rFonts w:ascii="Arial" w:cs="Arial" w:eastAsia="Arial" w:hAnsi="Arial"/>
          <w:sz w:val="18"/>
          <w:szCs w:val="18"/>
          <w:color w:val="auto"/>
        </w:rPr>
      </w:pPr>
    </w:p>
    <w:p>
      <w:pPr>
        <w:ind w:left="1540" w:hanging="297"/>
        <w:spacing w:after="0" w:line="296" w:lineRule="auto"/>
        <w:tabs>
          <w:tab w:leader="none" w:pos="15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Empowering the Intelligent Enterprise. </w:t>
      </w:r>
      <w:r>
        <w:rPr>
          <w:rFonts w:ascii="Arial" w:cs="Arial" w:eastAsia="Arial" w:hAnsi="Arial"/>
          <w:sz w:val="16"/>
          <w:szCs w:val="16"/>
          <w:color w:val="auto"/>
        </w:rPr>
        <w:t>Through our nIQ applications, we leverage analytics and AI/ML to help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institutions 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188" w:lineRule="exact"/>
        <w:rPr>
          <w:rFonts w:ascii="Arial" w:cs="Arial" w:eastAsia="Arial" w:hAnsi="Arial"/>
          <w:sz w:val="16"/>
          <w:szCs w:val="16"/>
          <w:color w:val="auto"/>
        </w:rPr>
      </w:pPr>
    </w:p>
    <w:p>
      <w:pPr>
        <w:ind w:left="1540" w:right="20" w:hanging="297"/>
        <w:spacing w:after="0" w:line="254"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Award-Winning Culture. </w:t>
      </w:r>
      <w:r>
        <w:rPr>
          <w:rFonts w:ascii="Arial" w:cs="Arial" w:eastAsia="Arial" w:hAnsi="Arial"/>
          <w:sz w:val="18"/>
          <w:szCs w:val="18"/>
          <w:color w:val="auto"/>
        </w:rPr>
        <w:t>We are in the business of fundamentally changing the way financial institutions operate. To transform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nCino Will Grow</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intend to continue growing our business by executing on the following strategies:</w:t>
      </w:r>
    </w:p>
    <w:p>
      <w:pPr>
        <w:spacing w:after="0" w:line="252" w:lineRule="exact"/>
        <w:rPr>
          <w:sz w:val="20"/>
          <w:szCs w:val="20"/>
          <w:color w:val="auto"/>
        </w:rPr>
      </w:pPr>
    </w:p>
    <w:p>
      <w:pPr>
        <w:jc w:val="both"/>
        <w:ind w:left="1540" w:right="160" w:hanging="297"/>
        <w:spacing w:after="0" w:line="25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and Across our Existing Customers. </w:t>
      </w:r>
      <w:r>
        <w:rPr>
          <w:rFonts w:ascii="Arial" w:cs="Arial" w:eastAsia="Arial" w:hAnsi="Arial"/>
          <w:sz w:val="18"/>
          <w:szCs w:val="18"/>
          <w:color w:val="auto"/>
        </w:rPr>
        <w:t>We believe there is a significant opportunity to further expand within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 base both vertically within business lines and horizontally across business lines. As an example, we formally launched our solution in retail lending in May 2018 and, as of August 31, 2020, we had 40 customers contracted to use both our commercial and retail loan origination applications. Our revenues from existing customers continue to grow as additional users are added, creating strong customer cohort dynamics.</w:t>
      </w:r>
    </w:p>
    <w:p>
      <w:pPr>
        <w:spacing w:after="0" w:line="214" w:lineRule="exact"/>
        <w:rPr>
          <w:rFonts w:ascii="Arial" w:cs="Arial" w:eastAsia="Arial" w:hAnsi="Arial"/>
          <w:sz w:val="18"/>
          <w:szCs w:val="18"/>
          <w:color w:val="auto"/>
        </w:rPr>
      </w:pPr>
    </w:p>
    <w:p>
      <w:pPr>
        <w:ind w:left="1540" w:hanging="297"/>
        <w:spacing w:after="0" w:line="270"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Customer Base. </w:t>
      </w:r>
      <w:r>
        <w:rPr>
          <w:rFonts w:ascii="Arial" w:cs="Arial" w:eastAsia="Arial" w:hAnsi="Arial"/>
          <w:sz w:val="17"/>
          <w:szCs w:val="17"/>
          <w:color w:val="auto"/>
        </w:rPr>
        <w:t>We believe the global market for cloud banking is large and underserved. With banks and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unions needing to replace legacy point products with more efficient technology and banking services continuing to shift to digital, we believe there is a significant opportunity to deliver our solution and expand our customer base to financial institutions of all sizes and complexities around the world. Currently deployed in 10 countries, we have made significant investments to expand our presence in Europe, the Middle East and Africa (“EMEA”) and APAC, and our solution can currently support over 120 languages and over 140 currencies. We promote sales in North America out of our offices in the United States and Canada, in APAC out of our offices in Australia and Japan, and in EMEA out of our office in the United Kingdom (“UK”). For fiscal 2020 and the six months ended July 31, 2020, revenues generated in countries outside the United States were 8.0% and 9.6%, respectively, of our total revenues.</w:t>
      </w:r>
    </w:p>
    <w:p>
      <w:pPr>
        <w:spacing w:after="0" w:line="207" w:lineRule="exact"/>
        <w:rPr>
          <w:rFonts w:ascii="Arial" w:cs="Arial" w:eastAsia="Arial" w:hAnsi="Arial"/>
          <w:sz w:val="17"/>
          <w:szCs w:val="17"/>
          <w:color w:val="auto"/>
        </w:rPr>
      </w:pPr>
    </w:p>
    <w:p>
      <w:pPr>
        <w:ind w:left="1540" w:right="20" w:hanging="297"/>
        <w:spacing w:after="0" w:line="290" w:lineRule="auto"/>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Strengthening and Extending our Product Functionality. </w:t>
      </w:r>
      <w:r>
        <w:rPr>
          <w:rFonts w:ascii="Arial" w:cs="Arial" w:eastAsia="Arial" w:hAnsi="Arial"/>
          <w:sz w:val="16"/>
          <w:szCs w:val="16"/>
          <w:color w:val="auto"/>
        </w:rPr>
        <w:t>We plan to extend the depth and breadth of the nCino 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employees the ability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192" w:lineRule="exact"/>
        <w:rPr>
          <w:rFonts w:ascii="Arial" w:cs="Arial" w:eastAsia="Arial" w:hAnsi="Arial"/>
          <w:sz w:val="16"/>
          <w:szCs w:val="16"/>
          <w:color w:val="auto"/>
        </w:rPr>
      </w:pPr>
    </w:p>
    <w:p>
      <w:pPr>
        <w:ind w:left="1540" w:right="40" w:hanging="297"/>
        <w:spacing w:after="0" w:line="254"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Foster and Grow our SI and Technology Ecosystem. </w:t>
      </w:r>
      <w:r>
        <w:rPr>
          <w:rFonts w:ascii="Arial" w:cs="Arial" w:eastAsia="Arial" w:hAnsi="Arial"/>
          <w:sz w:val="18"/>
          <w:szCs w:val="18"/>
          <w:color w:val="auto"/>
        </w:rPr>
        <w:t>We have developed strong relationships with a number of leading 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21" w:lineRule="exact"/>
        <w:rPr>
          <w:rFonts w:ascii="Arial" w:cs="Arial" w:eastAsia="Arial" w:hAnsi="Arial"/>
          <w:sz w:val="18"/>
          <w:szCs w:val="18"/>
          <w:color w:val="auto"/>
        </w:rPr>
      </w:pPr>
    </w:p>
    <w:p>
      <w:pPr>
        <w:ind w:left="1540" w:right="60" w:hanging="297"/>
        <w:spacing w:after="0" w:line="275"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Strategic Transactions. </w:t>
      </w:r>
      <w:r>
        <w:rPr>
          <w:rFonts w:ascii="Arial" w:cs="Arial" w:eastAsia="Arial" w:hAnsi="Arial"/>
          <w:sz w:val="17"/>
          <w:szCs w:val="17"/>
          <w:color w:val="auto"/>
        </w:rPr>
        <w:t>In addition to developing our solution organically, we may selectively pursue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Factors Summary</w:t>
      </w:r>
    </w:p>
    <w:p>
      <w:pPr>
        <w:spacing w:after="0" w:line="229" w:lineRule="exact"/>
        <w:rPr>
          <w:sz w:val="20"/>
          <w:szCs w:val="20"/>
          <w:color w:val="auto"/>
        </w:rPr>
      </w:pPr>
    </w:p>
    <w:p>
      <w:pPr>
        <w:ind w:left="300" w:firstLine="852"/>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the following:</w:t>
      </w:r>
    </w:p>
    <w:p>
      <w:pPr>
        <w:spacing w:after="0" w:line="197" w:lineRule="exact"/>
        <w:rPr>
          <w:sz w:val="20"/>
          <w:szCs w:val="20"/>
          <w:color w:val="auto"/>
        </w:rPr>
      </w:pPr>
    </w:p>
    <w:p>
      <w:pPr>
        <w:ind w:left="1540" w:right="20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operating results, and we may not achieve our expected operating results in the future;</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252" w:lineRule="exact"/>
        <w:rPr>
          <w:rFonts w:ascii="Arial" w:cs="Arial" w:eastAsia="Arial" w:hAnsi="Arial"/>
          <w:sz w:val="18"/>
          <w:szCs w:val="18"/>
          <w:color w:val="auto"/>
        </w:rPr>
      </w:pPr>
    </w:p>
    <w:p>
      <w:pPr>
        <w:ind w:left="1540" w:right="14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attract new customers or continue to broaden our existing customers’ use of our solution, our revenue growth will be adversely affected;</w:t>
      </w:r>
    </w:p>
    <w:p>
      <w:pPr>
        <w:spacing w:after="0" w:line="197" w:lineRule="exact"/>
        <w:rPr>
          <w:rFonts w:ascii="Arial" w:cs="Arial" w:eastAsia="Arial" w:hAnsi="Arial"/>
          <w:sz w:val="18"/>
          <w:szCs w:val="18"/>
          <w:color w:val="auto"/>
        </w:rPr>
      </w:pPr>
    </w:p>
    <w:p>
      <w:pPr>
        <w:ind w:left="1540" w:right="58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market for cloud-based banking technology develops more slowly than we expect or changes in a way that we fail to anticipate, our sales would suffer and our results of operations would be adversely affected;</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252" w:lineRule="exact"/>
        <w:rPr>
          <w:rFonts w:ascii="Arial" w:cs="Arial" w:eastAsia="Arial" w:hAnsi="Arial"/>
          <w:sz w:val="18"/>
          <w:szCs w:val="18"/>
          <w:color w:val="auto"/>
        </w:rPr>
      </w:pPr>
    </w:p>
    <w:p>
      <w:pPr>
        <w:ind w:left="1540" w:right="18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accurately predict the long-term rate of customer subscription renewals or adoption of our solution, or any resulting impact on our revenues or operating results;</w:t>
      </w:r>
    </w:p>
    <w:p>
      <w:pPr>
        <w:spacing w:after="0" w:line="197" w:lineRule="exact"/>
        <w:rPr>
          <w:rFonts w:ascii="Arial" w:cs="Arial" w:eastAsia="Arial" w:hAnsi="Arial"/>
          <w:sz w:val="18"/>
          <w:szCs w:val="18"/>
          <w:color w:val="auto"/>
        </w:rPr>
      </w:pPr>
    </w:p>
    <w:p>
      <w:pPr>
        <w:ind w:left="1540" w:right="40" w:hanging="297"/>
        <w:spacing w:after="0" w:line="308"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breach of our security measures or those we rely on could result in unauthorized access to customer or their clients’ data, which may materially and adversely impact our reputation, business, financial condition and results of operations;</w:t>
      </w:r>
    </w:p>
    <w:p>
      <w:pPr>
        <w:spacing w:after="0" w:line="173" w:lineRule="exact"/>
        <w:rPr>
          <w:rFonts w:ascii="Arial" w:cs="Arial" w:eastAsia="Arial" w:hAnsi="Arial"/>
          <w:sz w:val="17"/>
          <w:szCs w:val="17"/>
          <w:color w:val="auto"/>
        </w:rPr>
      </w:pPr>
    </w:p>
    <w:p>
      <w:pPr>
        <w:ind w:left="1540" w:right="28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Fundamental elements of the nCino Bank Operating System are built on the Salesforce Platform and we rely on our agreement with salesforce.com (“Salesforce”) to provide our solution to our customers;</w:t>
      </w:r>
    </w:p>
    <w:p>
      <w:pPr>
        <w:spacing w:after="0" w:line="197" w:lineRule="exact"/>
        <w:rPr>
          <w:rFonts w:ascii="Arial" w:cs="Arial" w:eastAsia="Arial" w:hAnsi="Arial"/>
          <w:sz w:val="18"/>
          <w:szCs w:val="18"/>
          <w:color w:val="auto"/>
        </w:rPr>
      </w:pPr>
    </w:p>
    <w:p>
      <w:pPr>
        <w:ind w:left="1540" w:right="140" w:hanging="297"/>
        <w:spacing w:after="0" w:line="342"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50" w:lineRule="exact"/>
        <w:rPr>
          <w:rFonts w:ascii="Arial" w:cs="Arial" w:eastAsia="Arial" w:hAnsi="Arial"/>
          <w:sz w:val="16"/>
          <w:szCs w:val="16"/>
          <w:color w:val="auto"/>
        </w:rPr>
      </w:pPr>
    </w:p>
    <w:p>
      <w:pPr>
        <w:ind w:left="1540" w:right="16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 or weakened economic conditions, including as a result of the recent novel coronavirus (“COVID-19”) outbreak, may adversely affect our industry, business and results of operations;</w:t>
      </w:r>
    </w:p>
    <w:p>
      <w:pPr>
        <w:spacing w:after="0" w:line="197" w:lineRule="exact"/>
        <w:rPr>
          <w:rFonts w:ascii="Arial" w:cs="Arial" w:eastAsia="Arial" w:hAnsi="Arial"/>
          <w:sz w:val="18"/>
          <w:szCs w:val="18"/>
          <w:color w:val="auto"/>
        </w:rPr>
      </w:pPr>
    </w:p>
    <w:p>
      <w:pPr>
        <w:ind w:left="1540" w:right="50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we recognize subscription revenues over the term of the contract, downturns or upturns in our business may not be reflected in our results of operations until future periods;</w:t>
      </w:r>
    </w:p>
    <w:p>
      <w:pPr>
        <w:spacing w:after="0" w:line="197" w:lineRule="exact"/>
        <w:rPr>
          <w:rFonts w:ascii="Arial" w:cs="Arial" w:eastAsia="Arial" w:hAnsi="Arial"/>
          <w:sz w:val="18"/>
          <w:szCs w:val="18"/>
          <w:color w:val="auto"/>
        </w:rPr>
      </w:pPr>
    </w:p>
    <w:p>
      <w:pPr>
        <w:ind w:left="1540" w:right="48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corporate culture has contributed to our success, and if we cannot maintain it as we grow, we could lose the innovation, creativity and teamwork fostered by our culture, and our business may be adversely affected;</w:t>
      </w:r>
    </w:p>
    <w:p>
      <w:pPr>
        <w:spacing w:after="0" w:line="197" w:lineRule="exact"/>
        <w:rPr>
          <w:rFonts w:ascii="Arial" w:cs="Arial" w:eastAsia="Arial" w:hAnsi="Arial"/>
          <w:sz w:val="18"/>
          <w:szCs w:val="18"/>
          <w:color w:val="auto"/>
        </w:rPr>
      </w:pPr>
    </w:p>
    <w:p>
      <w:pPr>
        <w:ind w:left="1540" w:right="46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derive all of our revenues from customers in the financial services industry, and any downturn or decrease in technology spend in the financial services industry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16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markets in which we participate are intensely competitive and highly fragmented, and pricing pressure, new technologies or other competitive dynamics could adversely affect our business and results of operations; and</w:t>
      </w:r>
    </w:p>
    <w:p>
      <w:pPr>
        <w:spacing w:after="0" w:line="197" w:lineRule="exact"/>
        <w:rPr>
          <w:rFonts w:ascii="Arial" w:cs="Arial" w:eastAsia="Arial" w:hAnsi="Arial"/>
          <w:sz w:val="18"/>
          <w:szCs w:val="18"/>
          <w:color w:val="auto"/>
        </w:rPr>
      </w:pPr>
    </w:p>
    <w:p>
      <w:pPr>
        <w:ind w:left="1540" w:right="40" w:hanging="297"/>
        <w:spacing w:after="0" w:line="25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the total number of shares of our common stock outstanding as of July 31, 2020, prior to the completion of this offering, entities affiliated with Insight Partners and Salesforce hold 41.7% and 11.8% of our total outstanding common stock, respectively, and as such, the influence of public stockholders over significant corporate actions is limited. In addition, we rely on Salesforce, our second largest stockholder, for the Salesforce Platform upon which the nCino Bank Operating System is built and for the operation of datacenters we use.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300" w:right="160" w:firstLine="852"/>
        <w:spacing w:after="0" w:line="279" w:lineRule="auto"/>
        <w:rPr>
          <w:sz w:val="20"/>
          <w:szCs w:val="20"/>
          <w:color w:val="auto"/>
        </w:rPr>
      </w:pPr>
      <w:r>
        <w:rPr>
          <w:rFonts w:ascii="Arial" w:cs="Arial" w:eastAsia="Arial" w:hAnsi="Arial"/>
          <w:sz w:val="17"/>
          <w:szCs w:val="17"/>
          <w:color w:val="auto"/>
        </w:rPr>
        <w:t>We were organized in the state of North Carolina in late 2011, and incorporated in Delaware in 2013. Our principal executive offices are located at 6770 Parker Farm Drive, Wilmington, North Carolina 28405, and our telephone number is (888) 676-2466. Our website address is www.ncino.com. Information contained on, or that can be accessed through, our website is not incorporated by reference into this prospectus, and you should not consider information on our website to be part of this prospectus.</w:t>
      </w:r>
    </w:p>
    <w:p>
      <w:pPr>
        <w:spacing w:after="0" w:line="171" w:lineRule="exact"/>
        <w:rPr>
          <w:sz w:val="20"/>
          <w:szCs w:val="20"/>
          <w:color w:val="auto"/>
        </w:rPr>
      </w:pPr>
    </w:p>
    <w:p>
      <w:pPr>
        <w:ind w:left="300" w:right="40" w:firstLine="852"/>
        <w:spacing w:after="0" w:line="301" w:lineRule="auto"/>
        <w:rPr>
          <w:sz w:val="20"/>
          <w:szCs w:val="20"/>
          <w:color w:val="auto"/>
        </w:rPr>
      </w:pPr>
      <w:r>
        <w:rPr>
          <w:rFonts w:ascii="Arial" w:cs="Arial" w:eastAsia="Arial" w:hAnsi="Arial"/>
          <w:sz w:val="16"/>
          <w:szCs w:val="16"/>
          <w:color w:val="auto"/>
        </w:rPr>
        <w:t xml:space="preserve">nCino and other trademarks or service marks of nCino, Inc. appearing in this prospectus are the property of nCino, Inc. This prospectus contains additional trade names, trademarks and service marks of others, which are the property of their respective owners. Solely for convenience, the trademarks, service marks, logos and trade names referred to in this prospectus are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such references are not intended to indicate that we will not assert our rights in these trademarks, service marks and trade names.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left="300" w:firstLine="852"/>
        <w:spacing w:after="0" w:line="291" w:lineRule="auto"/>
        <w:rPr>
          <w:sz w:val="20"/>
          <w:szCs w:val="20"/>
          <w:color w:val="auto"/>
        </w:rPr>
      </w:pPr>
      <w:r>
        <w:rPr>
          <w:rFonts w:ascii="Arial" w:cs="Arial" w:eastAsia="Arial" w:hAnsi="Arial"/>
          <w:sz w:val="16"/>
          <w:szCs w:val="16"/>
          <w:color w:val="auto"/>
        </w:rPr>
        <w:t>We are an “emerging growth company” within the meaning of the Jumpstart Our Business Startups Act of 2012 (“JOBS Act”). We may take advantage of certain exemptions from various public reporting requirements, including that our internal control over financial reporting be audited by our independent registered public accounting firm pursuant to Section 404 of the Sarbanes-Oxley Act of 2002 (the “Sarbanes-Oxley Act”).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6" w:lineRule="exact"/>
        <w:rPr>
          <w:sz w:val="20"/>
          <w:szCs w:val="20"/>
          <w:color w:val="auto"/>
        </w:rPr>
      </w:pPr>
    </w:p>
    <w:p>
      <w:pPr>
        <w:jc w:val="both"/>
        <w:ind w:left="300" w:right="100" w:firstLine="852"/>
        <w:spacing w:after="0" w:line="257" w:lineRule="auto"/>
        <w:rPr>
          <w:sz w:val="20"/>
          <w:szCs w:val="20"/>
          <w:color w:val="auto"/>
        </w:rPr>
      </w:pPr>
      <w:r>
        <w:rPr>
          <w:rFonts w:ascii="Arial" w:cs="Arial" w:eastAsia="Arial" w:hAnsi="Arial"/>
          <w:sz w:val="18"/>
          <w:szCs w:val="18"/>
          <w:color w:val="auto"/>
        </w:rPr>
        <w:t>We intend to take advantage of the foregoing exemptions until we are no longer an emerging growth company. We will cease to be an emerging growth company upon the earliest of (1) January 31, 2026; (2) the last day of the fiscal year during which our annual gross revenues are $1.07 billion or more; (3) the date on which we have, during the previous three-year period, issued more than $1.0 billion in non-convertible debt securities or (4) the end of any fiscal year in which the market value of our common stock held by non-affiliates exceeded $700.0 million as of the end of the second quarter of that fiscal year.</w:t>
      </w:r>
    </w:p>
    <w:p>
      <w:pPr>
        <w:spacing w:after="0" w:line="188" w:lineRule="exact"/>
        <w:rPr>
          <w:sz w:val="20"/>
          <w:szCs w:val="20"/>
          <w:color w:val="auto"/>
        </w:rPr>
      </w:pPr>
    </w:p>
    <w:p>
      <w:pPr>
        <w:ind w:left="300" w:right="100" w:firstLine="852"/>
        <w:spacing w:after="0" w:line="263" w:lineRule="auto"/>
        <w:rPr>
          <w:sz w:val="20"/>
          <w:szCs w:val="20"/>
          <w:color w:val="auto"/>
        </w:rPr>
      </w:pPr>
      <w:r>
        <w:rPr>
          <w:rFonts w:ascii="Arial" w:cs="Arial" w:eastAsia="Arial" w:hAnsi="Arial"/>
          <w:sz w:val="18"/>
          <w:szCs w:val="18"/>
          <w:color w:val="auto"/>
        </w:rPr>
        <w:t>See the section titled “Risk Factors—Risks Relating to Ownership of Our Common Stock—We are an emerging growth company, and any decision on our part to comply only with certain reduced reporting and disclosure requirements applicable to emerging growth companies could make our common stock less attractive to investors”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61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8618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320" w:top="459" w:right="67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5,500,000 shares</w:t>
      </w:r>
    </w:p>
    <w:p>
      <w:pPr>
        <w:spacing w:after="0" w:line="211" w:lineRule="exact"/>
        <w:rPr>
          <w:sz w:val="20"/>
          <w:szCs w:val="20"/>
          <w:color w:val="auto"/>
        </w:rPr>
      </w:pPr>
    </w:p>
    <w:p>
      <w:pPr>
        <w:sectPr>
          <w:pgSz w:w="11900" w:h="16838" w:orient="portrait"/>
          <w:cols w:equalWidth="0" w:num="2">
            <w:col w:w="3920" w:space="420"/>
            <w:col w:w="6560"/>
          </w:cols>
          <w:pgMar w:left="320" w:top="459" w:right="679" w:bottom="1440" w:gutter="0" w:footer="0" w:header="0"/>
          <w:type w:val="continuous"/>
        </w:sectPr>
      </w:pPr>
    </w:p>
    <w:p>
      <w:pPr>
        <w:spacing w:after="0" w:line="89"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Option to purchase additional shares from certain selling stockholders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825,000 shares</w:t>
      </w:r>
    </w:p>
    <w:p>
      <w:pPr>
        <w:spacing w:after="0" w:line="505" w:lineRule="exact"/>
        <w:rPr>
          <w:sz w:val="20"/>
          <w:szCs w:val="20"/>
          <w:color w:val="auto"/>
        </w:rPr>
      </w:pPr>
    </w:p>
    <w:p>
      <w:pPr>
        <w:sectPr>
          <w:pgSz w:w="11900" w:h="16838" w:orient="portrait"/>
          <w:cols w:equalWidth="0" w:num="2">
            <w:col w:w="3860" w:space="480"/>
            <w:col w:w="6560"/>
          </w:cols>
          <w:pgMar w:left="320" w:top="459" w:right="67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300"/>
        <w:spacing w:after="0" w:line="311" w:lineRule="auto"/>
        <w:rPr>
          <w:sz w:val="20"/>
          <w:szCs w:val="20"/>
          <w:color w:val="auto"/>
        </w:rPr>
      </w:pPr>
      <w:r>
        <w:rPr>
          <w:rFonts w:ascii="Arial" w:cs="Arial" w:eastAsia="Arial" w:hAnsi="Arial"/>
          <w:sz w:val="16"/>
          <w:szCs w:val="16"/>
          <w:color w:val="auto"/>
        </w:rPr>
        <w:t>The selling stockholders will receive all of the proceeds from this offering. We will not receive any proceeds from the sale of the shares of common stock in this offering. For more information on our selling stockholders see “Principal and Selling Stockholders.”</w:t>
      </w:r>
    </w:p>
    <w:p>
      <w:pPr>
        <w:spacing w:after="0" w:line="176"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“NCNO”</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See the section titled “Risk Factors” and other information included in this prospectus for a discussion of factors you should carefully consider before deciding to invest in our common stock.</w:t>
      </w:r>
    </w:p>
    <w:p>
      <w:pPr>
        <w:spacing w:after="0" w:line="184"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right="80" w:firstLine="852"/>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91,122,356 shares of our common stock outstanding as of July 31, 2020 and excludes:</w:t>
      </w:r>
    </w:p>
    <w:p>
      <w:pPr>
        <w:spacing w:after="0" w:line="197" w:lineRule="exact"/>
        <w:rPr>
          <w:sz w:val="20"/>
          <w:szCs w:val="20"/>
          <w:color w:val="auto"/>
        </w:rPr>
      </w:pPr>
    </w:p>
    <w:p>
      <w:pPr>
        <w:ind w:left="1540" w:right="46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7,464,094 shares of common stock issuable upon exercise of options outstanding as of July 31, 2020, at a weighted-average exercise price of $5.48 per share under our existing equity plans;</w:t>
      </w:r>
    </w:p>
    <w:p>
      <w:pPr>
        <w:spacing w:after="0" w:line="197" w:lineRule="exact"/>
        <w:rPr>
          <w:rFonts w:ascii="Arial" w:cs="Arial" w:eastAsia="Arial" w:hAnsi="Arial"/>
          <w:sz w:val="18"/>
          <w:szCs w:val="18"/>
          <w:color w:val="auto"/>
        </w:rPr>
      </w:pPr>
    </w:p>
    <w:p>
      <w:pPr>
        <w:ind w:left="1540" w:right="66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2,041,093 shares of common stock issuable upon vesting of restricted stock unit (“RSU”) awards as of July 31, 2020 at a weighted-average grant date fair value of $20.84 per share;</w:t>
      </w:r>
    </w:p>
    <w:p>
      <w:pPr>
        <w:spacing w:after="0" w:line="197" w:lineRule="exact"/>
        <w:rPr>
          <w:rFonts w:ascii="Arial" w:cs="Arial" w:eastAsia="Arial" w:hAnsi="Arial"/>
          <w:sz w:val="18"/>
          <w:szCs w:val="18"/>
          <w:color w:val="auto"/>
        </w:rPr>
      </w:pPr>
    </w:p>
    <w:p>
      <w:pPr>
        <w:ind w:left="1540" w:right="2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17,500 shares of vested RSUs that were not issued and outstanding as of July 31, 2020 at a weighted-average grant date fair value of $20.00 per share;</w:t>
      </w:r>
    </w:p>
    <w:p>
      <w:pPr>
        <w:spacing w:after="0" w:line="197" w:lineRule="exact"/>
        <w:rPr>
          <w:rFonts w:ascii="Arial" w:cs="Arial" w:eastAsia="Arial" w:hAnsi="Arial"/>
          <w:sz w:val="18"/>
          <w:szCs w:val="18"/>
          <w:color w:val="auto"/>
        </w:rPr>
      </w:pPr>
    </w:p>
    <w:p>
      <w:pPr>
        <w:ind w:left="1540" w:right="32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13,480,341 shares of common stock reserved for future issuance as of July 31, 2020 under our 2019 Equity Incentive Plan, as amended and restated (“2019 Incentive Plan”);</w:t>
      </w:r>
    </w:p>
    <w:p>
      <w:pPr>
        <w:spacing w:after="0" w:line="197" w:lineRule="exact"/>
        <w:rPr>
          <w:rFonts w:ascii="Arial" w:cs="Arial" w:eastAsia="Arial" w:hAnsi="Arial"/>
          <w:sz w:val="18"/>
          <w:szCs w:val="18"/>
          <w:color w:val="auto"/>
        </w:rPr>
      </w:pPr>
    </w:p>
    <w:p>
      <w:pPr>
        <w:ind w:left="1540" w:right="12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1,800,000 shares of common stock reserved for issuance as of July 31, 2020 under our 2020 Employee Stock Purchase Plan (the “ESPP”); and</w:t>
      </w:r>
    </w:p>
    <w:p>
      <w:pPr>
        <w:spacing w:after="0" w:line="197" w:lineRule="exact"/>
        <w:rPr>
          <w:rFonts w:ascii="Arial" w:cs="Arial" w:eastAsia="Arial" w:hAnsi="Arial"/>
          <w:sz w:val="18"/>
          <w:szCs w:val="18"/>
          <w:color w:val="auto"/>
        </w:rPr>
      </w:pPr>
    </w:p>
    <w:p>
      <w:pPr>
        <w:ind w:left="1540" w:right="40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5,750 shares issuable upon vesting of RSU awards granted after July 31, 2020, at a weighted-average grant date fair value of $76.48 under our 2019 Incentive Plan.</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52" w:lineRule="exact"/>
        <w:rPr>
          <w:sz w:val="20"/>
          <w:szCs w:val="20"/>
          <w:color w:val="auto"/>
        </w:rPr>
      </w:pPr>
    </w:p>
    <w:p>
      <w:pPr>
        <w:ind w:left="1540" w:hanging="297"/>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issuance or exercise of outstanding options after July 31, 2020;</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issuance or settlement of outstanding RSUs after July 31, 2020; and</w:t>
      </w:r>
    </w:p>
    <w:p>
      <w:pPr>
        <w:spacing w:after="0" w:line="252" w:lineRule="exact"/>
        <w:rPr>
          <w:rFonts w:ascii="Arial" w:cs="Arial" w:eastAsia="Arial" w:hAnsi="Arial"/>
          <w:sz w:val="18"/>
          <w:szCs w:val="18"/>
          <w:color w:val="auto"/>
        </w:rPr>
      </w:pPr>
    </w:p>
    <w:p>
      <w:pPr>
        <w:ind w:left="1540" w:right="28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underwriters of their option to purchase up to an additional shares of our common stock from certain selling stockholders.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300" w:right="20" w:firstLine="852"/>
        <w:spacing w:after="0" w:line="269" w:lineRule="auto"/>
        <w:rPr>
          <w:sz w:val="20"/>
          <w:szCs w:val="20"/>
          <w:color w:val="auto"/>
        </w:rPr>
      </w:pPr>
      <w:r>
        <w:rPr>
          <w:rFonts w:ascii="Arial" w:cs="Arial" w:eastAsia="Arial" w:hAnsi="Arial"/>
          <w:sz w:val="17"/>
          <w:szCs w:val="17"/>
          <w:color w:val="auto"/>
        </w:rPr>
        <w:t>The following tables set forth our summary consolidated financial data. The summary consolidated statement of operations data for the fiscal years ended January 31, 2018, 2019 and 2020 are each derived from our audited financial statements appearing elsewhere in this prospectus. The summary consolidated statement of operations data for the six months ended July 31, 2019 and 2020, and the summary consolidated balance sheet data as of July 31, 2020, are each derived from our unaudited financial statements appearing elsewhere in this prospectus. We have prepared the unaudited financial statements on the same basis as the audited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 You should read this summary consolidated financial and other data in conjunction with the sections titled “Selected Consolidated Financial and Other Data” and “Management’s Discussion and Analysis of Financial Condition and Results of Operations” and our consolidated financial statements, related notes and other financial information included elsewhere in this prospectus.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July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Subscription revenues</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38,048</w:t>
            </w:r>
          </w:p>
        </w:tc>
        <w:tc>
          <w:tcPr>
            <w:tcW w:w="2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64,458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103,265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3"/>
              <w:spacing w:after="0"/>
              <w:rPr>
                <w:sz w:val="20"/>
                <w:szCs w:val="20"/>
                <w:color w:val="auto"/>
              </w:rPr>
            </w:pPr>
            <w:r>
              <w:rPr>
                <w:rFonts w:ascii="Arial" w:cs="Arial" w:eastAsia="Arial" w:hAnsi="Arial"/>
                <w:sz w:val="17"/>
                <w:szCs w:val="17"/>
                <w:color w:val="auto"/>
              </w:rPr>
              <w:t>44,142</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74,182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Professional services revenues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27,076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34,915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17,672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19,295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ind w:left="660"/>
              <w:spacing w:after="0"/>
              <w:rPr>
                <w:sz w:val="20"/>
                <w:szCs w:val="20"/>
                <w:color w:val="auto"/>
              </w:rPr>
            </w:pPr>
            <w:r>
              <w:rPr>
                <w:rFonts w:ascii="Arial" w:cs="Arial" w:eastAsia="Arial" w:hAnsi="Arial"/>
                <w:sz w:val="17"/>
                <w:szCs w:val="17"/>
                <w:color w:val="auto"/>
              </w:rPr>
              <w:t>Total revenues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138,180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61,814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Cost of revenues  :</w:t>
            </w: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Cost of subscription revenue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12,581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19,995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31,062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3"/>
              <w:spacing w:after="0"/>
              <w:rPr>
                <w:sz w:val="20"/>
                <w:szCs w:val="20"/>
                <w:color w:val="auto"/>
              </w:rPr>
            </w:pPr>
            <w:r>
              <w:rPr>
                <w:rFonts w:ascii="Arial" w:cs="Arial" w:eastAsia="Arial" w:hAnsi="Arial"/>
                <w:sz w:val="17"/>
                <w:szCs w:val="17"/>
                <w:color w:val="auto"/>
              </w:rPr>
              <w:t>13,585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professional services revenue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26,456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33,008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15,223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19,434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Pr>
          <w:p>
            <w:pPr>
              <w:ind w:left="660"/>
              <w:spacing w:after="0"/>
              <w:rPr>
                <w:sz w:val="20"/>
                <w:szCs w:val="20"/>
                <w:color w:val="auto"/>
              </w:rPr>
            </w:pPr>
            <w:r>
              <w:rPr>
                <w:rFonts w:ascii="Arial" w:cs="Arial" w:eastAsia="Arial" w:hAnsi="Arial"/>
                <w:sz w:val="17"/>
                <w:szCs w:val="17"/>
                <w:color w:val="auto"/>
              </w:rPr>
              <w:t>Total cost of revenue</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28,808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45,083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74,110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33,006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31,278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44,440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18,468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16,559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22,230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35,304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3"/>
              <w:spacing w:after="0"/>
              <w:rPr>
                <w:sz w:val="20"/>
                <w:szCs w:val="20"/>
                <w:color w:val="auto"/>
              </w:rPr>
            </w:pPr>
            <w:r>
              <w:rPr>
                <w:rFonts w:ascii="Arial" w:cs="Arial" w:eastAsia="Arial" w:hAnsi="Arial"/>
                <w:sz w:val="17"/>
                <w:szCs w:val="17"/>
                <w:color w:val="auto"/>
              </w:rPr>
              <w:t>15,638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26,257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14,791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22,536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10,339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17,879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102,280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44,445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(23,216)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(28,170)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(11,439)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Non-operating income (expense):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1,193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3"/>
              <w:spacing w:after="0"/>
              <w:rPr>
                <w:sz w:val="20"/>
                <w:szCs w:val="20"/>
                <w:color w:val="auto"/>
              </w:rPr>
            </w:pPr>
            <w:r>
              <w:rPr>
                <w:rFonts w:ascii="Arial" w:cs="Arial" w:eastAsia="Arial" w:hAnsi="Arial"/>
                <w:sz w:val="17"/>
                <w:szCs w:val="17"/>
                <w:color w:val="auto"/>
              </w:rPr>
              <w:t>(727)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 expense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(22,112)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(27,149)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(11,583)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Income tax expense</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(18,589)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(22,306)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(27,735)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(11,921)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Net loss attributable to non-controlling interest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0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Adjustment attributable to non-controlling interest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Net loss attributable to nCino, Inc.</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(18,589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(27,594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(11,921</w:t>
            </w:r>
          </w:p>
        </w:tc>
        <w:tc>
          <w:tcPr>
            <w:tcW w:w="240" w:type="dxa"/>
            <w:vAlign w:val="bottom"/>
          </w:tcPr>
          <w:p>
            <w:pPr>
              <w:jc w:val="right"/>
              <w:ind w:right="163"/>
              <w:spacing w:after="0"/>
              <w:rPr>
                <w:sz w:val="20"/>
                <w:szCs w:val="20"/>
                <w:color w:val="auto"/>
              </w:rPr>
            </w:pPr>
            <w:r>
              <w:rPr>
                <w:rFonts w:ascii="Arial" w:cs="Arial" w:eastAsia="Arial" w:hAnsi="Arial"/>
                <w:sz w:val="7"/>
                <w:szCs w:val="7"/>
                <w:color w:val="auto"/>
                <w:w w:val="83"/>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nCino, Inc.:</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(0.27)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(0.30)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(0.35)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3"/>
              <w:spacing w:after="0"/>
              <w:rPr>
                <w:sz w:val="20"/>
                <w:szCs w:val="20"/>
                <w:color w:val="auto"/>
              </w:rPr>
            </w:pPr>
            <w:r>
              <w:rPr>
                <w:rFonts w:ascii="Arial" w:cs="Arial" w:eastAsia="Arial" w:hAnsi="Arial"/>
                <w:sz w:val="17"/>
                <w:szCs w:val="17"/>
                <w:color w:val="auto"/>
              </w:rPr>
              <w:t>(0.16)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w w:val="93"/>
              </w:rPr>
              <w:t>Weighted average number of common shares outstanding:</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68,290,570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74,593,709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78,316,794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76,206,900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83,112,132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87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38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hanging="422"/>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stock-based compensation expense as follows: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vMerge w:val="restart"/>
          </w:tcPr>
          <w:p>
            <w:pPr>
              <w:ind w:left="60"/>
              <w:spacing w:after="0"/>
              <w:rPr>
                <w:sz w:val="20"/>
                <w:szCs w:val="20"/>
                <w:color w:val="auto"/>
              </w:rPr>
            </w:pPr>
            <w:r>
              <w:rPr>
                <w:rFonts w:ascii="Arial" w:cs="Arial" w:eastAsia="Arial" w:hAnsi="Arial"/>
                <w:sz w:val="14"/>
                <w:szCs w:val="14"/>
                <w:b w:val="1"/>
                <w:bCs w:val="1"/>
                <w:color w:val="auto"/>
              </w:rPr>
              <w:t>Fiscal Year Ended January 31,</w:t>
            </w:r>
          </w:p>
        </w:tc>
        <w:tc>
          <w:tcPr>
            <w:tcW w:w="240" w:type="dxa"/>
            <w:vAlign w:val="bottom"/>
          </w:tcPr>
          <w:p>
            <w:pPr>
              <w:spacing w:after="0"/>
              <w:rPr>
                <w:sz w:val="14"/>
                <w:szCs w:val="14"/>
                <w:color w:val="auto"/>
              </w:rPr>
            </w:pPr>
          </w:p>
        </w:tc>
        <w:tc>
          <w:tcPr>
            <w:tcW w:w="12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5"/>
              </w:rPr>
              <w:t>Ended July 31,</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137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professional services revenues</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1,128</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1,244</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1,240</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1,078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1,260</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1,070</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1,056</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1,245</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1,723</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3,826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4,095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5,745</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14,320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0"/>
              </w:rPr>
              <w:t>As of July 31, 2020</w:t>
            </w:r>
          </w:p>
        </w:tc>
        <w:tc>
          <w:tcPr>
            <w:tcW w:w="0" w:type="dxa"/>
            <w:vAlign w:val="bottom"/>
          </w:tcPr>
          <w:p>
            <w:pPr>
              <w:spacing w:after="0"/>
              <w:rPr>
                <w:sz w:val="1"/>
                <w:szCs w:val="1"/>
                <w:color w:val="auto"/>
              </w:rPr>
            </w:pPr>
          </w:p>
        </w:tc>
      </w:tr>
      <w:tr>
        <w:trPr>
          <w:trHeight w:val="142"/>
        </w:trPr>
        <w:tc>
          <w:tcPr>
            <w:tcW w:w="6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388,191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533,799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101,925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(140,072)</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427,490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right="200" w:firstLine="852"/>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860" w:type="dxa"/>
            <w:vAlign w:val="bottom"/>
            <w:gridSpan w:val="7"/>
            <w:vMerge w:val="restart"/>
          </w:tcPr>
          <w:p>
            <w:pPr>
              <w:jc w:val="right"/>
              <w:ind w:right="561"/>
              <w:spacing w:after="0"/>
              <w:rPr>
                <w:sz w:val="20"/>
                <w:szCs w:val="20"/>
                <w:color w:val="auto"/>
              </w:rPr>
            </w:pPr>
            <w:r>
              <w:rPr>
                <w:rFonts w:ascii="Arial" w:cs="Arial" w:eastAsia="Arial" w:hAnsi="Arial"/>
                <w:sz w:val="14"/>
                <w:szCs w:val="14"/>
                <w:b w:val="1"/>
                <w:bCs w:val="1"/>
                <w:color w:val="auto"/>
              </w:rPr>
              <w:t>Fiscal Year Ended January 31,</w:t>
            </w:r>
          </w:p>
        </w:tc>
        <w:tc>
          <w:tcPr>
            <w:tcW w:w="100" w:type="dxa"/>
            <w:vAlign w:val="bottom"/>
          </w:tcPr>
          <w:p>
            <w:pPr>
              <w:spacing w:after="0"/>
              <w:rPr>
                <w:sz w:val="14"/>
                <w:szCs w:val="14"/>
                <w:color w:val="auto"/>
              </w:rPr>
            </w:pPr>
          </w:p>
        </w:tc>
        <w:tc>
          <w:tcPr>
            <w:tcW w:w="162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286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rPr>
              <w:t>Ended July 31,</w:t>
            </w:r>
          </w:p>
        </w:tc>
        <w:tc>
          <w:tcPr>
            <w:tcW w:w="0" w:type="dxa"/>
            <w:vAlign w:val="bottom"/>
          </w:tcPr>
          <w:p>
            <w:pPr>
              <w:spacing w:after="0"/>
              <w:rPr>
                <w:sz w:val="1"/>
                <w:szCs w:val="1"/>
                <w:color w:val="auto"/>
              </w:rPr>
            </w:pPr>
          </w:p>
        </w:tc>
      </w:tr>
      <w:tr>
        <w:trPr>
          <w:trHeight w:val="142"/>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Non-GAAP financial measure (in thousands)</w:t>
            </w: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Loss from Operations</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0"/>
              </w:rPr>
              <w:t>$(18,775)</w:t>
            </w: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0"/>
              </w:rPr>
              <w:t>$(23,216)</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$(28,170)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9"/>
              </w:rPr>
              <w:t>(11,439)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(19,964)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3,826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14,320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8"/>
              </w:rPr>
              <w:t>15,912</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Non-GAAP Operating Loss</w:t>
            </w:r>
            <w:r>
              <w:rPr>
                <w:rFonts w:ascii="Arial" w:cs="Arial" w:eastAsia="Arial" w:hAnsi="Arial"/>
                <w:sz w:val="15"/>
                <w:szCs w:val="15"/>
                <w:b w:val="1"/>
                <w:bCs w:val="1"/>
                <w:color w:val="auto"/>
              </w:rPr>
              <w:t>(1)</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(14,949</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(19,121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(20,677</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(7,661</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40" w:hanging="523"/>
        <w:spacing w:after="0"/>
        <w:tabs>
          <w:tab w:leader="none" w:pos="12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See “Selected consolidated financial data—Non-GAAP financial measure” for additional information.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70"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operating results, and we may not achieve our expected operating results in the future.</w:t>
      </w:r>
    </w:p>
    <w:p>
      <w:pPr>
        <w:spacing w:after="0" w:line="170"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As a result of our limited operating history,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prospectus.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We began operations in late 2011 and have experienced net losses since inception. We generated net losses attributable to nCino of $18.6 million, $22.3 million, $27.6 million, and $19.4 million for the fiscal years ended January 31, 2018, 2019 and 2020, and the six months ended July 31, 2020, respectively. We had an accumulated deficit of $140.1 million at July 31, 2020. We will need to generate and sustain increased revenue levels in future periods in order to become profitable, and, even if we do, we may not be able to maintain or increase our level of profitability. We intend to continue to expend significant resources to support further growth and extend the functionality of the nCino Bank Operating System, expand our sales and product development headcount, increase our marketing activities and grow our international operations. We will also face increased costs associated with growth, the expansion of our customer base and the costs of being a public company. Our efforts to grow our business may be more costly than we expect, and we may not be able to increase our revenues enough to offset our increased operating expenses. We expect to incur losses for the foreseeable future as we continue to invest in product development, and we cannot predict whether or when we will achieve or sustain profitability. If we are unable to achieve and sustain profitability, the value of our business and common stock may significantly decrease.</w:t>
      </w:r>
    </w:p>
    <w:p>
      <w:pPr>
        <w:spacing w:after="0" w:line="16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or continue to broaden our existing customers’ use of our solution, our revenue growth will be adversely affected.</w:t>
      </w:r>
    </w:p>
    <w:p>
      <w:pPr>
        <w:spacing w:after="0" w:line="170"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To increase our revenues, we will need to continue to attract new customers and succeed in having our current customers expand the use of our solution across their institution. For example, our revenue growth strategy includes increased penetration of markets outside the United States as well as selling our retail applications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3" w:lineRule="auto"/>
        <w:rPr>
          <w:sz w:val="20"/>
          <w:szCs w:val="20"/>
          <w:color w:val="auto"/>
        </w:rPr>
      </w:pPr>
      <w:r>
        <w:rPr>
          <w:rFonts w:ascii="Arial" w:cs="Arial" w:eastAsia="Arial" w:hAnsi="Arial"/>
          <w:sz w:val="17"/>
          <w:szCs w:val="17"/>
          <w:color w:val="auto"/>
        </w:rPr>
        <w:t>expires. Our revenue growth rates may decline or fluctuate as a result of a number of factors, including customer spending levels, customer dissatisfaction with our solution,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 as its use may enable them to operate more efficiently over time. Therefore, we cannot assure you that our current customers will renew or expand their use of our solution. If we are unable to sign new customers or retain or attract new business from current customers, our business and results of operations may be materially and adversely affected.</w:t>
      </w:r>
    </w:p>
    <w:p>
      <w:pPr>
        <w:spacing w:after="0" w:line="17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If the market for cloud-based banking technology develops more slowly than we expect or changes in a way that we fail to anticipate, our sales would suffer and our results of operations would be adversely affected.</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Use of, and reliance on, cloud-based banking technology is still at an early stage and we do not know whether financial institutions will continue to adopt cloud-based banking technology such as the nCino Bank Operating System in the future, or whether the market will change in ways we do not anticipate. Many financial institutions have invested substantial personnel and financial resources in legacy software, and these institutions may be reluctant, unwilling or unable to convert from their existing systems to our solution. Furthermore, these financial institutions may be reluctant, unwilling or unable to use cloud-based banking technology due to various concerns such as the security of their data and reliability of the delivery model. These concerns or other considerations may cause financial institutions to choose not to adopt cloud-based banking technology such as ours or to adopt them more slowly than we anticipate, either of which would adversely affect us. Our future success also depends on our ability to sell additional applications and functionality, such as nIQ, to our current and prospective customers. As we create new applications and enhance our existing solution, these applications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financial institutions are unwilling or unable to transition from their legacy systems, or if the demand for our solution does not meet our expectations, our results of operations and financial condition will be adversely affected.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25"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Our revenues increased from $58.1 million for fiscal 2018 to $91.5 million for fiscal 2019 to $138.2 million for fiscal 2020, and from $61.8 million for the six months ended July 31, 2019 to $93.5 million for the six months ended July 31, 2020.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 increasing competition, decreasing growth of our overall market, the impact of COVID-19, our inability to attract and retain a sufficient number of financial institution customers, concerns over data security, our failure, for any reason, to capitalize on growth opportunities or general economic conditions. If we are unable to maintain consistent revenue growth, the price of our common stock could be volatile and it may be difficult for us to achieve and maintain profitability.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For example, while subscriptions with our customers include multi-year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5" w:lineRule="auto"/>
        <w:rPr>
          <w:sz w:val="20"/>
          <w:szCs w:val="20"/>
          <w:color w:val="auto"/>
        </w:rPr>
      </w:pPr>
      <w:r>
        <w:rPr>
          <w:rFonts w:ascii="Arial" w:cs="Arial" w:eastAsia="Arial" w:hAnsi="Arial"/>
          <w:sz w:val="17"/>
          <w:szCs w:val="17"/>
          <w:color w:val="auto"/>
        </w:rPr>
        <w:t>non-cancellable terms, in a limited number of contracts, customers have an option to buy out of the contract for a specified termination fee. 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spacing w:after="0" w:line="203" w:lineRule="exact"/>
        <w:rPr>
          <w:sz w:val="20"/>
          <w:szCs w:val="20"/>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current customers or attract new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activation, delay in activation or cancellation of large blocks of users by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recognition of professional services revenues;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operations and infrastructure;</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acquisitions of our customers, to the extent the acquirer elects not to continue using our solution or reduces subscriptions to it;</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renewal rates;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or decreases in the number of users licensed or pricing changes upon renewals of customer contracts;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industry and market conditions (particularly those affecting financial institutions);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 variations in sales of our solution, which have historically been highest in the fourth quarter of our fiscal year;</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new product introductions by us or our competitors or any other change in the competitive dynamics of our industry, including consolidation among competitors, customers or strategic partners; and</w:t>
      </w:r>
    </w:p>
    <w:p>
      <w:pPr>
        <w:spacing w:after="0" w:line="197"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not accurately predict the long-term rate of customer subscription renewals or adoption of our solution, or any resulting impact on our revenues or operating results.</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customers have no obligation to renew their subscriptions for our solution after the expiration of the initial or current subscription term, and our customers, if they choose to renew at all, may renew for fewer users or on less favorable pricing terms. Since the average initial term of our customer agreements is three to five years, and we only began selling our solution in 2012, we have limited historical data with respect to rates of customer subscription renewals and cannot be certain of anticipated renewal rates. Our renewal rates may decline or fluctuate as a result of a number of factors, including our customers’ satisfaction with our pricing or our solution or their ability to continue their operations or spending levels. If our customers do not renew their subscriptions for our solution on similar pricing terms, our revenues may decline and our business could suffer.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881"/>
        <w:spacing w:after="0" w:line="301" w:lineRule="auto"/>
        <w:rPr>
          <w:sz w:val="20"/>
          <w:szCs w:val="20"/>
          <w:color w:val="auto"/>
        </w:rPr>
      </w:pPr>
      <w:r>
        <w:rPr>
          <w:rFonts w:ascii="Arial" w:cs="Arial" w:eastAsia="Arial" w:hAnsi="Arial"/>
          <w:sz w:val="16"/>
          <w:szCs w:val="16"/>
          <w:color w:val="auto"/>
        </w:rPr>
        <w:t>Additionally, as the markets for the nCino Bank Operating System develop, we may be unable to attract new customers based on the same subscription model that we have used historically. Moreover, large or influential financial institution customers may demand more favorable pricing or other contract terms from us. As a result, we may in the future be required to change our pricing model, reduce our prices or accept other unfavorable contract terms, any of which could adversely affect our revenues, gross margin, profitability, financial position and/or cash flow.</w:t>
      </w:r>
    </w:p>
    <w:p>
      <w:pPr>
        <w:spacing w:after="0" w:line="15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A breach of our security measures or those we rely on could result in unauthorized access to customer or their clients’ data, which may materially and adversely impact our reputation, business and results of operations.</w:t>
      </w:r>
    </w:p>
    <w:p>
      <w:pPr>
        <w:spacing w:after="0" w:line="170"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Certain elements of our solution, particularly our analytics applications,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additional functionality, we may gain greater access to PII. We maintain policies, procedures and technological safeguards designed to protect the confidentiality, integrity and availability of this information and our information technology systems. However, we cannot entirely eliminate the risk of improper or unauthorized access to or disclosure of PII or other security events that impact the integrity or availability of PII or our systems and operations, or the related costs we may incur to mitigate the consequences from such events. Further, the nCino Bank Operating System is a flexible and complex software solution and there is a risk that configurations of, or defects in, the solution or errors in implementation could create vulnerabilities to security breaches. There may be unlawful attempts to disrupt or gain access to our information technology systems or the PII or other data of our customers or their clients that may disrupt our or our customers’ operations. In addition, because we leverage third-party providers, including cloud, software, data center and other critical technology vendors to deliver our solution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Cyberattacks and other malicious internet-based activity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 In the event our or our third-party providers’ protection efforts are unsuccessful and our systems or solution are compromised, we could suffer substantial harm. A security breach could result in operational disruptions, loss, compromise or corruption of customer or client data or data we rely on to provide our solution, including our analytics initiatives and offerings that impair our ability to provide our solution and meet our customers’ requirements resulting in decreased revenues and otherwise materially negatively impacting our financial results. Also, our reputation could suffer irreparable harm, causing our current and prospective customers to decline to use our solution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be costly and divert resources and the attention of our management and key personnel away from our business operations.</w:t>
      </w:r>
    </w:p>
    <w:p>
      <w:pPr>
        <w:spacing w:after="0" w:line="174"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Federal and state regulations may require us or our customers to notify individuals of data security incidents involving certain types of personal data or information technology systems. Security compromises experienced by others in our industry, our customers or us may lead to public disclosures and widespread negative publicity. Any security compromise in our industry, whether actual or perceived, could erode customer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confidence in the effectiveness of our security measures, negatively impact our ability to attract new customers, cause existing customers to elect not to renew or expand their use of our solution or subject us to third-party lawsuits, regulatory fines or other actions or liabilities, which could materially and adversely affect our business and results of operations.</w:t>
      </w:r>
    </w:p>
    <w:p>
      <w:pPr>
        <w:spacing w:after="0" w:line="184"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In addition, some of our customers contractually require notification of data security compromises and include representations and warranties in their contracts with us that our solution complies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spacing w:after="0" w:line="17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Fundamental elements of the nCino Bank Operating System are built on the Salesforce Platform and we rely on our agreement with Salesforce to provide our solution to our customers.</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Fundamental elements of the nCino Bank Operating System, including our client onboarding, loan origination and deposit account opening applications, are built on the Salesforce Platform and we rely on our agreement with Salesforce to use the Salesforce Platform in conjunction with our solution, including for hosting infrastructure and data center operations. Any termination of our relationship with Salesforce would result in a materially adverse impact on our business model.</w:t>
      </w:r>
    </w:p>
    <w:p>
      <w:pPr>
        <w:spacing w:after="0" w:line="187"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Our agreement with Salesforce (the “Salesforce Agreement”) expires on June 19, 2027, unless earlier terminated by either party in the event of the other party’s material breach, bankruptcy, change in control in favor of a direct competitor, or intellectual property infringement, and automatically renews for additional one-year periods thereafter unless notice of non-renewal is provided. If we are unable to renew our agreement with Salesforce, there would be, absent a termination for cause, a wind-down period during which existing customers would be able to continue using the nCino Bank Operating System in conjunction with the Salesforce Platform, but we would be unable to provide our solution to new customers and could be limited in our ability to allow current customers to add additional users. In addition, if we are unable to renew our agreement with Salesforce, our customers would need to obtain a separate subscription from Salesforce in order to access the nCino Bank Operating System.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not, our business and operating results may be materially and adversely affected.</w:t>
      </w:r>
    </w:p>
    <w:p>
      <w:pPr>
        <w:spacing w:after="0" w:line="16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Salesforce has the right to terminate its agreement with us in certain circumstances, including in the event of a material breach of the agreement by us. If Salesforce terminates our agreement for cause, it would not be required to provide the wind-down period described above. We are also required to indemnify Salesforce for claims made against Salesforce by a third party alleging that the nCino Bank Operating System infringes the intellectual property rights of such third party.</w:t>
      </w:r>
    </w:p>
    <w:p>
      <w:pPr>
        <w:spacing w:after="0" w:line="18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An expiration or termination of our agreement with Salesforce would cause us to incur significant time and expense to acquire rights to, or develop, a replacement solution and we may not be successful in these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efforts, which could cause the nCino Bank Operating System to become obsolete. Even if we were to successfully acquire or develop a replacement solution, some customers may decide not to adopt the solution and may, as a result, decide to use a different product. If we were unsuccessful in acquiring or developing a replacement solution or acquire or develop a replacement solution that our customers do not adopt, our business, results of operations and brand would be materially and adversely affected.</w:t>
      </w:r>
    </w:p>
    <w:p>
      <w:pPr>
        <w:spacing w:after="0" w:line="187"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spacing w:after="0" w:line="149"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b w:val="1"/>
          <w:bCs w:val="1"/>
          <w:i w:val="1"/>
          <w:iCs w:val="1"/>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46"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Personal privacy, information security, and data protection are significant issues in the United States, the European Union (“EU”) and a number of other jurisdictions where we offer the nCino Bank Operating System.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spacing w:after="0" w:line="157" w:lineRule="exact"/>
        <w:rPr>
          <w:sz w:val="20"/>
          <w:szCs w:val="20"/>
          <w:color w:val="auto"/>
        </w:rPr>
      </w:pPr>
    </w:p>
    <w:p>
      <w:pPr>
        <w:ind w:left="120" w:right="40" w:firstLine="881"/>
        <w:spacing w:after="0" w:line="285" w:lineRule="auto"/>
        <w:rPr>
          <w:sz w:val="20"/>
          <w:szCs w:val="20"/>
          <w:color w:val="auto"/>
        </w:rPr>
      </w:pPr>
      <w:r>
        <w:rPr>
          <w:rFonts w:ascii="Arial" w:cs="Arial" w:eastAsia="Arial" w:hAnsi="Arial"/>
          <w:sz w:val="16"/>
          <w:szCs w:val="16"/>
          <w:color w:val="auto"/>
        </w:rPr>
        <w:t>We expect that there will continue to be new proposed and adopted laws, regulations and industry standards concerning privacy, data protection and information security in the United States, the EU and other jurisdictions in which we operate. For example, California enacted the CCPA which went into effect in January 2020 and, among other things, requires companies covered by the legislation to provide new disclosures to California consumers and afford such consumers new rights of access and deletion for personal information, as well as the right to opt-out of certain sales of personal information. The CCPA was enacted in June 2018, amended in September 2018, amended again in September 2019, and several bills to amend the CCPA further are pending. Draft regulations were issued in October 2019 and revised several times before a final version was submitted and approved in July 2020. Additionally, a referendum called the California Privacy Rights Act will be on the California ballot in November 2020 and may replace the CCPA and further expand upon consumer data privacy rights. It remains unclear what, if any, modifications will be made to the CCPA or how those modifications will be interpreted or enforced. The CCPA or similar legislation may require us to modify our practices and policies and incur substantial costs and expenses in an effort to comply or respond to further changes to laws or regulations. Similarly, the European Commission adopted the GDPR, which became fully effective on May 25, 2018, and imposes similarly complex and stringent data protection requirements with regard to the processing of EU PII. Violations of the GDPR carry penalties of up to 4% of gross annual turnover. In July 2020, the Court of Justice of the European Union (“CJEU”) issued a decision that invalidated the EU-U.S. Privacy Shield Framework as set forth by the U.S. Department of Commerce that provided one basis for the transfer of personal data from the European Union to the United States under the GDPR. The CJEU decision also requires additional safeguards be considered for the use of standard contractual clauses. nCino participates in and has certified to the EU-U.S. Privacy Shield Framework. Additional GDPR interpretations and guidance have been and may continue to be issued related to the recent CJEU decision, as well as with regard to the GDPR and other European data protection requirements, including the ePrivacy Directive. These evolving legal and regulatory requirements may require us to modify our practices and policies and incur substantial costs and expenses in an effort to comply or to adjust to changes in the law or EU member state implementing legislation.</w:t>
      </w:r>
    </w:p>
    <w:p>
      <w:pPr>
        <w:spacing w:after="0" w:line="16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information including financial and PII, and may be bound by, or voluntarily comply with, self-regulatory or other industry standards relating to these matters that may further change as laws, rules and regulations evolve.</w:t>
      </w:r>
    </w:p>
    <w:p>
      <w:pPr>
        <w:spacing w:after="0" w:line="170"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In addition, any such action, particularly to the extent we were found to be guilty of violations or otherwise liable for damages, would damage our reputation and adversely affect our business and results of operations.</w:t>
      </w:r>
    </w:p>
    <w:p>
      <w:pPr>
        <w:spacing w:after="0" w:line="18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Uncertain or weakened economic conditions, including as a result of COVID-19, may adversely affect our industry, business and results of operations.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Our overall performance depends on economic conditions, which may be challenging at various times in the future. Financial developments seemingly unrelated to us or our industry may adversely affect us. Domestic and international 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For example, COVID-19 has created and may continue to create significant uncertainty in global financial markets and the long-term economic impact of COVID-19 is highly uncertain. We cannot predict the timing, strength or duration of the current or any future potential economic slowdown in the United States or globally. These conditions affect the rate of technology spending generally and could adversely affect our customers’ ability or willingness to purchase the nCino Bank Operating System, delay prospective customers’ purchasing decisions, reduce the value or duration of their subscriptions or affect renewal rates, any of which could adversely affect our results of operations.</w:t>
      </w:r>
    </w:p>
    <w:p>
      <w:pPr>
        <w:spacing w:after="0" w:line="16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revenues over the term of the contract, downturns or upturns in our business may not be reflected in our results of operations until future periods.</w:t>
      </w:r>
    </w:p>
    <w:p>
      <w:pPr>
        <w:spacing w:after="0" w:line="170"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generally recognize subscription revenues ratably over the terms of our customer contracts, which typically range from three to five years. Most of the subscription revenues we report each quarter are derived from the recognition of deferred revenue relating to subscriptions activated in previous quarters. Consequently, a reduction in activated subscriptions in any single quarter may only have a small impact on our revenues for that quarter. However, such a decline will negatively affect our revenues in future quarters. Accordingly, the effect of significant downturns in sales or market acceptance of our solution may not be reflected in our results of operations until future periods.</w:t>
      </w:r>
    </w:p>
    <w:p>
      <w:pPr>
        <w:spacing w:after="0" w:line="176"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it as we grow, we could lose the innovation, creativity and teamwork fostered by our culture, and our business may be adversely affected.</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believe our corporate culture is one of our fundamental strengths, as we believe it enables us to attract and retain top talent and deliver superior results for our customers. As we grow,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derive all of our revenues from customers in the financial services industry, and any downturn or consolidation or decrease in technology spend in the financial services industry could adversely affect our business.</w:t>
      </w:r>
    </w:p>
    <w:p>
      <w:pPr>
        <w:spacing w:after="0" w:line="170"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All of our revenues are derived from financial institutions whose industry has experienced significant pressure in recent years due to economic uncertainty, low interest rates, liquidity concerns and increased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regulation. In the past, financial institutions have experienced consolidation, distress and failure. It is possible these conditions may reoccur. If any of our customers merge with or are acquired by other entities, such as financial institutions that have internally developed banking technology solutions or that are not our customers or use our solution less, we may lose business. Additionally, changes in management of our customers could result in delays or cancellations of the implementation of our solution. It is also possible that the larger financial institutions that result from business combinations could have greater leverage in negotiating price or other terms with us or could decide to replace some or all of the elements of our solution. Our business may also be materially and adversely affected by weak economic conditions in the financial services industry. Any downturn in the financial services industry may cause our customers to reduce their spending on technology or cloud-based banking technology or to seek to terminate or renegotiate their contracts with us. Moreover, even if the overall economy is robust, economic fluctuations caused by things such as the U.S. Federal Reserve lowering interest rates may cause potential new customers and existing customers to become less profitable and therefore forego or delay purchasing our solution or reduce the amount of spend with us, which would materially and adversely affect our business.</w:t>
      </w:r>
    </w:p>
    <w:p>
      <w:pPr>
        <w:spacing w:after="0" w:line="16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intensely competitive and highly fragmented, and pricing pressure, new technologies or other competitive dynamics could adversely affect our business and results of operations.</w:t>
      </w:r>
    </w:p>
    <w:p>
      <w:pPr>
        <w:spacing w:after="0" w:line="170"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We currently compete with providers of technology and services in the financial services industry, primarily point solution vendors that focus on building functionality that competes with specific components of the nCino Bank Operating System. From time to time, we also compete with systems internally developed by financial institutions.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spacing w:after="0" w:line="161"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applications at little or no additional cost to the customer by bundling them with their existing applications, including adjacent banking technologies. Competition from these new entrants may make attracting new customers and retaining our current customers more difficult, which may adversely affect our results of operations.</w:t>
      </w:r>
    </w:p>
    <w:p>
      <w:pPr>
        <w:spacing w:after="0" w:line="161"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If we are unable to compete in this environment, sales and renewals of the nCino Bank Operating System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depend on data centers operated by or on behalf of Salesforce and other third parties, and any disruption in the operation of these facilities could adversely affect our business and subject us to liability.</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nCino Bank Operating System is primarily hosted in data centers operated by or on behalf of Salesforce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encounter implementation challenges, including in situations in which we rely on SIs, which would materially and adversely affect our business and results of operations.</w:t>
      </w:r>
    </w:p>
    <w:p>
      <w:pPr>
        <w:spacing w:after="0" w:line="170" w:lineRule="exact"/>
        <w:rPr>
          <w:sz w:val="20"/>
          <w:szCs w:val="20"/>
          <w:color w:val="auto"/>
        </w:rPr>
      </w:pPr>
    </w:p>
    <w:p>
      <w:pPr>
        <w:ind w:left="120" w:right="840" w:firstLine="881"/>
        <w:spacing w:after="0" w:line="277" w:lineRule="auto"/>
        <w:rPr>
          <w:sz w:val="20"/>
          <w:szCs w:val="20"/>
          <w:color w:val="auto"/>
        </w:rPr>
      </w:pPr>
      <w:r>
        <w:rPr>
          <w:rFonts w:ascii="Arial" w:cs="Arial" w:eastAsia="Arial" w:hAnsi="Arial"/>
          <w:sz w:val="18"/>
          <w:szCs w:val="18"/>
          <w:color w:val="auto"/>
        </w:rPr>
        <w:t>We may face unexpected challenges related to the complexity of our customers’ implementation and configuration requirements. Implementation of our solution may be delayed or expenses may increase when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 We also leverage the services of SIs, including Accenture, Deloitte, PwC and West Monroe Partners, among others, to implement and configure the nCino Bank Operating System for our larger financial institution customers, and we are increasingly using other SIs for smaller engagements as we continue to scale our business.</w:t>
      </w:r>
    </w:p>
    <w:p>
      <w:pPr>
        <w:spacing w:after="0" w:line="164"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While SIs generally contract directly with our customers, any failure or delay by the SIs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w:t>
      </w:r>
    </w:p>
    <w:p>
      <w:pPr>
        <w:spacing w:after="0" w:line="17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spacing w:after="0" w:line="184" w:lineRule="exact"/>
        <w:rPr>
          <w:sz w:val="20"/>
          <w:szCs w:val="20"/>
          <w:color w:val="auto"/>
        </w:rPr>
      </w:pPr>
    </w:p>
    <w:p>
      <w:pPr>
        <w:ind w:left="120" w:right="320" w:firstLine="881"/>
        <w:spacing w:after="0" w:line="291" w:lineRule="auto"/>
        <w:rPr>
          <w:sz w:val="20"/>
          <w:szCs w:val="20"/>
          <w:color w:val="auto"/>
        </w:rPr>
      </w:pPr>
      <w:r>
        <w:rPr>
          <w:rFonts w:ascii="Arial" w:cs="Arial" w:eastAsia="Arial" w:hAnsi="Arial"/>
          <w:sz w:val="16"/>
          <w:szCs w:val="16"/>
          <w:color w:val="auto"/>
        </w:rPr>
        <w:t>Since our inception, our business has grown rapidly, which has resulted in a large increase in our employee headcount, expansion of our infrastructure, enhancement of our internal systems and other significant changes and additional complexities. Our revenues increased from</w:t>
      </w:r>
    </w:p>
    <w:p>
      <w:pPr>
        <w:ind w:left="120"/>
        <w:spacing w:after="0" w:line="268" w:lineRule="auto"/>
        <w:rPr>
          <w:sz w:val="20"/>
          <w:szCs w:val="20"/>
          <w:color w:val="auto"/>
        </w:rPr>
      </w:pPr>
      <w:r>
        <w:rPr>
          <w:rFonts w:ascii="Arial" w:cs="Arial" w:eastAsia="Arial" w:hAnsi="Arial"/>
          <w:sz w:val="17"/>
          <w:szCs w:val="17"/>
          <w:color w:val="auto"/>
        </w:rPr>
        <w:t>$58.1 million for fiscal 2018 to $91.5 million for fiscal 2019 to $138.2 million for fiscal 2020, and from $61.8 million for the six months ended July 31, 2019 to $93.5 million for the six months ended July 31, 2020. Our total number of employees increased from 436 as of January 31, 2018 to 991 as of July 31, 2020. Managing and sustaining a growing workforce and customer base geographically-dispersed in the United States and internationally will require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will also have to expand and enhance the capabilities of our sales, relationship management, implementation, customer service, research and development, and other personnel to support our growth and continue to achieve high levels of customer service and satisfaction. Our success will depend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spacing w:after="0" w:line="17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Defects, errors or other performance problems in the nCino Bank Operating System could harm our reputation, result in significant costs to us, impair our ability to sell our solution and subject us to substantial liability.</w:t>
      </w:r>
    </w:p>
    <w:p>
      <w:pPr>
        <w:spacing w:after="0" w:line="170"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The nCino Bank Operating System is complex and may contain defects or errors when implemented or when new functionality is released. Despite extensive testing, from time to time we have discovered and may in the future discover defects or errors in our solution. Any performance problems or defects in our solution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w:t>
      </w:r>
    </w:p>
    <w:p>
      <w:pPr>
        <w:spacing w:after="0" w:line="1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changes in the industry in which we operate, our ability to attract and retain customers could be impaired and our competitive position could be harmed.</w:t>
      </w:r>
    </w:p>
    <w:p>
      <w:pPr>
        <w:spacing w:after="0" w:line="170"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 our customers could migrate to competitors who may offer a broader or more attractive range of products and services. For example, we recently launched our nIQ capabilities and we may fail to achieve market acceptance of this offering. Unexpected delays in releasing new or enhanced versions of our solution,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not be able to enhance aspects of our solution successfully or introduce and gain market acceptance of new applications or improvements in a timely manner, or at all. Additionally, we must continually modify and enhance our solution to keep pace with changes in software applications,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spacing w:after="0" w:line="182"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b w:val="1"/>
          <w:bCs w:val="1"/>
          <w:i w:val="1"/>
          <w:iCs w:val="1"/>
          <w:color w:val="auto"/>
        </w:rPr>
        <w:t>We leverage third-party software, content and services for use with our solution. Performance issues, errors and defects, or failure to successfully integrate or license necessary third-party software, content or services, could cause delays, errors, or failures of our solution, increases in our expenses and reductions in our sales, which could materially and adversely affect our business and results of operations.</w:t>
      </w:r>
    </w:p>
    <w:p>
      <w:pPr>
        <w:spacing w:after="0" w:line="14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We use software and content licensed from, and services provided by, a variety of third parties in connection with the operation of our solution. Any performance issues, errors, bugs, or defects in third-party software, content or services could result in errors or a failure of our solution, which could adversely affect our business and results of operations. In the future, we might need to license other software, content or services to enhance our solution and meet evolving customer demands and requirements. Any limitations in our ability to use third-party software, content or services could significantly increase our expenses and otherwise result in delays, a reduction in functionality, or errors or failures of our solution until equivalent technology or content is either developed by us or, if available, identified, obtained through purchase or license, and integrated into our solution.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spacing w:after="0" w:line="19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184"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From time to time, we consider potential strategic transactions, including acquisitions of, or investments in, businesses, technologies, services, solutions and other assets. For example, in fiscal 2020, we acquired Visible Equity and FinSuite and established our nCino K.K. joint venture in Japan. We also may enter into relationships with other businesses to expand our solution, which could involve preferred or exclusive licenses, additional channels of distribution, discount pricing or investments in other companies. Negotiating these transactions can be time-consuming, difficult and expensive, and our ability to close these transactions may be subject to</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approvals that are beyond our control. In addition, nCino has limited experience in acquiring other businesses. If an acquired business fails to meet our expectations, our operating results, business and financial position may suffer. We may not be able to find and identify desirable acquisition targets, we may incorrectly estimate the value of an acquisition target, and we may not be successful in entering into an agreement with any particular target. If we are successful in acquiring additional businesses, we may not achieve the anticipated benefits from the acquired business due to a number of factors, including:</w:t>
      </w:r>
    </w:p>
    <w:p>
      <w:pPr>
        <w:spacing w:after="0" w:line="215" w:lineRule="exact"/>
        <w:rPr>
          <w:sz w:val="20"/>
          <w:szCs w:val="20"/>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integrate or benefit from acquired technologies or services;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integrating the technology, accounting systems, operations, control environments and personnel of the acquired business and integrating the acquired business or its employees into our culture;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solutions and infrastructure of the acquired business;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to our solution and contract terms, including disparities in licensing terms;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costs for the support or professional services model of the acquired company;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and other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additional equity securities that could dilute the ownership interests of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debt on terms unfavorable to us or that we are unable to repay;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substantial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retaining key employees of the acquired business;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tax consequences, substantial depreciation or deferred compensation charges.</w:t>
      </w:r>
    </w:p>
    <w:p>
      <w:pPr>
        <w:spacing w:after="0" w:line="225"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49"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Because two of our stockholders collectively hold a substantial majority of our total outstanding common stock, the influence of our public stockholders over significant corporate actions will be limited and sales by either of these stockholders could adversely affect the value of our common stock.</w:t>
      </w:r>
    </w:p>
    <w:p>
      <w:pPr>
        <w:spacing w:after="0" w:line="184"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Based on the total number of shares of our common stock outstanding as of July 31, 2020, prior to the completion of this offering, entities affiliated with Insight Partners (“Insight Partners”) and Salesforce hold 41.7% and 11.8% of our total outstanding common stock, respectively. As a result, Insight Partners by itself,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to a lesser degree, Salesforce, will have the ability to influence the outcome of corporate actions requiring stockholder approval, including the election of directors, the approval of mergers or other changes of corporate control, any of which may be in opposition to the best interests of our other stockholders and may adversely impact our results of operations and the value of our common stock. Further, although we have what we consider to be a deep commercial relationship with Salesforce, it has the right to, and has no duty to abstain from exercising its right to, engage or invest in the same or similar business as us, and do business with any of our customers and any other party with which we do business. Conflicts of interest could arise between us and Salesforce, and any conflict of interest may be resolved in a manner that does not favor us. Sales of our common stock by Insight or Salesforce could have an immediate and substantial adverse affect on the value of our common stock.</w:t>
      </w:r>
    </w:p>
    <w:p>
      <w:pPr>
        <w:spacing w:after="0" w:line="17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Our customers are highly regulated and subject to a number of challenges and risks. Our failure to comply with laws and regulations applicable to us as a technology provider to financial institutions could adversely affect our business and results of operations, increase costs and impose constraints on the way we conduct our business.</w:t>
      </w:r>
    </w:p>
    <w:p>
      <w:pPr>
        <w:spacing w:after="0" w:line="184"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Our customers and prospective customers are highly regulated and are generally required to comply with stringent regulations in connection with performing business functions that the nCino Bank Operating System addresses. As a provider of technology to financial institutions, we may be examined on a periodic basis by various regulatory agencies and may be required to review certain of our suppliers and partners. In addition, while much of our operations are not directly subject to the same regulations applicable to financial institutions,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Gramm-Leach-Bliley Act related to the privacy of consumer information and may be subject to other privacy and data security laws because of the solution we provide to financial institutions. Matters subject to review and examination by federal and state financial institution regulatory agencies and external auditors include our internal information technology controls in connection with our performance of data processing services, the agreements giving rise to those processing activities, and the design of our solution. Any inability to satisfy these examinations and maintain compliance with applicable regulations could adversely affect our ability to conduct our business, including attracting and maintaining customers. If we have to make changes to our internal processes and solution as result of these regulations, we could be required to invest substantial additional time and funds and divert time and resources from other corporate purposes to remedy any identified deficiency.</w:t>
      </w:r>
    </w:p>
    <w:p>
      <w:pPr>
        <w:spacing w:after="0" w:line="17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evolving, complex and often unpredictable regulatory environment in which our customers operate could result in our failure to provide a compliant solution, which could result in customers not purchasing our solution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fail to successfully expand internationally. In addition, sales to customers outside the United States or with international operations expose us to risks inherent in international sales, which may include a marked increase in expenses.</w:t>
      </w:r>
    </w:p>
    <w:p>
      <w:pPr>
        <w:spacing w:after="0" w:line="170"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For the fiscal year ended January 31, 2020 and for the six months ended July 31, 2020, sales to customers outside the United States accounted for 8.0% and 9.6%, respectively, of our total revenues. A key element of our growth strategy is to further expand our international operations and worldwide customer base. We have begun expending significant resources to build out our sales and professional services organizations outside of the United States and we may not realize a suitable return on this investment in the near future, if at all. We have limited operating experience in international markets, and we cannot assure you that our international expansion efforts will be successful. Our experience in the United States may not be relevant to our ability to expand in any international market.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Operating in international markets requires significant resources and management attention and subjects us to regulatory, economic and political risks that are different from those in the United States. Export control regulations in the United States may increasingly be implicated in our operations as we expand internationally. These regulations may limit the export of our solution and provision of our solution outside of the United States, or may require export authorizations, including by license, a license exception or other appropriate government authorizations, including annual or semi-annual reporting and the filing of an encryption registration. Changes in export or import laws, or corresponding sanctions, may delay the introduction and sale of our solution in international markets, or, in some cases, prevent the export or import of our solution to certain countries, regions, governments, persons or entities altogether, which could adversely affect our business, financial condition and results of operations.</w:t>
      </w:r>
    </w:p>
    <w:p>
      <w:pPr>
        <w:spacing w:after="0" w:line="166" w:lineRule="exact"/>
        <w:rPr>
          <w:sz w:val="20"/>
          <w:szCs w:val="20"/>
          <w:color w:val="auto"/>
        </w:rPr>
      </w:pPr>
    </w:p>
    <w:p>
      <w:pPr>
        <w:jc w:val="both"/>
        <w:ind w:left="120" w:right="20" w:firstLine="881"/>
        <w:spacing w:after="0" w:line="275" w:lineRule="auto"/>
        <w:rPr>
          <w:sz w:val="20"/>
          <w:szCs w:val="20"/>
          <w:color w:val="auto"/>
        </w:rPr>
      </w:pPr>
      <w:r>
        <w:rPr>
          <w:rFonts w:ascii="Arial" w:cs="Arial" w:eastAsia="Arial" w:hAnsi="Arial"/>
          <w:sz w:val="17"/>
          <w:szCs w:val="17"/>
          <w:color w:val="auto"/>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addition, we face risks in doing business internationally that could adversely affect our business, including:</w:t>
      </w:r>
    </w:p>
    <w:p>
      <w:pPr>
        <w:spacing w:after="0" w:line="252" w:lineRule="exact"/>
        <w:rPr>
          <w:sz w:val="20"/>
          <w:szCs w:val="20"/>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localize and adapt our solution for specific countries;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varying and sometimes conflicting data privacy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employment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unstable regional, economic or political conditions, including that arise from Brexit in the UK;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collections issues;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52" w:lineRule="exact"/>
        <w:rPr>
          <w:rFonts w:ascii="Arial" w:cs="Arial" w:eastAsia="Arial" w:hAnsi="Arial"/>
          <w:sz w:val="18"/>
          <w:szCs w:val="18"/>
          <w:color w:val="auto"/>
        </w:rPr>
      </w:pPr>
    </w:p>
    <w:p>
      <w:pPr>
        <w:ind w:left="1420" w:right="540" w:hanging="31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and anti-bribery laws and regulations;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transfer of funds;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increase our customer base.</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Increasing our customer base and expanding customer adoption within and across business lines will depend, to a significant extent, on our ability to effectively expand our sales and marketing operations and activities. From January 31, 2019 to July 31, 2020, our sales and marketing teams increased from 140 to 236 employees.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spacing w:after="0" w:line="166"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If we fail to provide effective customer training on the nCino Bank Operating System and high-quality customer support, our business and reputation would suffer.</w:t>
      </w:r>
    </w:p>
    <w:p>
      <w:pPr>
        <w:spacing w:after="0" w:line="170"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Effective customer training on the nCino Bank Operating System and high-quality, ongoing customer support are critical to the successful marketing, sale and adoption of our solution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 quickly resolve any post-implementation matters, and provide effective ongoing customer support and training, our ability to expand sales to existing and future customers and our reputation would be adversely affected.</w:t>
      </w:r>
    </w:p>
    <w:p>
      <w:pPr>
        <w:spacing w:after="0" w:line="161"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If we are unable to effectively integrate our solution with other systems used by our customers, or if there are performance issues with such third-party systems, our solution will not operate effectively and our business and reputation will be adversely affected.</w:t>
      </w:r>
    </w:p>
    <w:p>
      <w:pPr>
        <w:spacing w:after="0" w:line="146"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The nCino Bank Operating System integrates with other third-party systems used by our customers, including core processing systems. We do not have formal arrangements with many of these third-party providers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 and our business and reputation may be harmed.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cycle can be unpredictable, time-consuming and costly.</w:t>
      </w:r>
    </w:p>
    <w:p>
      <w:pPr>
        <w:spacing w:after="0" w:line="225"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Our sales process involves educating prospective customers and existing customers about the benefits and technical capabilities of our solution. Prospective customers often undertake a prolonged evaluation process, which typically involves not only our solution, but also those of our competitors. Our sales cycles are typically lengthy, generally ranging from six to nine months for smaller financial institutions and twelve to eighteen months or more for larger financial institutions.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Failure to protect our proprietary technology and intellectual property rights could adversely affect our business and results of operations.</w:t>
      </w:r>
    </w:p>
    <w:p>
      <w:pPr>
        <w:spacing w:after="0" w:line="248"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49"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As of July 31, 2020, we had twelve issued patents and one patent application pending relating to the nCino Bank Operating System in the United States. We cannot assure you that any patents will issue from any patent applications, that patents that may be issued from such applications will give us the protection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We have registered the “nCino” name and logo in the United States and certain other countries and we have registrations and/or pending applications for additional marks including the “Bank Operating System” and “nIQ” in the United States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spacing w:after="0" w:line="182" w:lineRule="exact"/>
        <w:rPr>
          <w:sz w:val="20"/>
          <w:szCs w:val="20"/>
          <w:color w:val="auto"/>
        </w:rPr>
      </w:pPr>
    </w:p>
    <w:p>
      <w:pPr>
        <w:ind w:left="120" w:right="280" w:firstLine="881"/>
        <w:spacing w:after="0" w:line="290" w:lineRule="auto"/>
        <w:rPr>
          <w:sz w:val="20"/>
          <w:szCs w:val="20"/>
          <w:color w:val="auto"/>
        </w:rPr>
      </w:pPr>
      <w:r>
        <w:rPr>
          <w:rFonts w:ascii="Arial" w:cs="Arial" w:eastAsia="Arial" w:hAnsi="Arial"/>
          <w:sz w:val="16"/>
          <w:szCs w:val="16"/>
          <w:color w:val="auto"/>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 technologies or intellectual property rights.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b w:val="1"/>
          <w:bCs w:val="1"/>
          <w:i w:val="1"/>
          <w:iCs w:val="1"/>
          <w:color w:val="auto"/>
        </w:rPr>
        <w:t>We use “open source” software in our solution, which may restrict how we use or distribute our solutions, require that we release the source code of certain software subject to open source licenses or subject us to litigation or other actions that could adversely affect our business.</w:t>
      </w:r>
    </w:p>
    <w:p>
      <w:pPr>
        <w:spacing w:after="0" w:line="12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currently use in our solution, and may use in the future, software that is licensed under “open source,” “free” or other similar license, where the licensed software is made available to the general public on an “as-is” basis under the terms 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 that our programmers have not incorporated open source software into our solution, or that they will not do so in the future.</w:t>
      </w:r>
    </w:p>
    <w:p>
      <w:pPr>
        <w:spacing w:after="0" w:line="178"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In addition, our solution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 As a result of using open source software subject to such licenses, we could be required to release proprietary source code, pay damages, re-engineer our solution, limit or discontinue sales or take other remedial action, any of which could adversely affect our business.</w:t>
      </w:r>
    </w:p>
    <w:p>
      <w:pPr>
        <w:spacing w:after="0" w:line="18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whether or not correct, could result in significant costs and adversely affect our business and results of operations.</w:t>
      </w:r>
    </w:p>
    <w:p>
      <w:pPr>
        <w:spacing w:after="0" w:line="170"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Patent and other 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 utilizes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w:t>
      </w:r>
    </w:p>
    <w:p>
      <w:pPr>
        <w:spacing w:after="0" w:line="179"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There can be no assurance that we will successfully defend third-party intellectual property claims. An adverse outcome of a dispute may require us to:</w:t>
      </w:r>
    </w:p>
    <w:p>
      <w:pPr>
        <w:spacing w:after="0" w:line="197" w:lineRule="exact"/>
        <w:rPr>
          <w:sz w:val="20"/>
          <w:szCs w:val="20"/>
          <w:color w:val="auto"/>
        </w:rPr>
      </w:pPr>
    </w:p>
    <w:p>
      <w:pPr>
        <w:ind w:left="5540" w:right="280" w:hanging="4439"/>
        <w:spacing w:after="0" w:line="449" w:lineRule="auto"/>
        <w:tabs>
          <w:tab w:leader="none" w:pos="14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 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50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cease developing or selling any elements of our solution that rely on technology that is alleged to infringe or misappropriate the intellectual property of others;</w:t>
      </w:r>
    </w:p>
    <w:p>
      <w:pPr>
        <w:spacing w:after="0" w:line="197" w:lineRule="exact"/>
        <w:rPr>
          <w:rFonts w:ascii="Arial" w:cs="Arial" w:eastAsia="Arial" w:hAnsi="Arial"/>
          <w:sz w:val="18"/>
          <w:szCs w:val="18"/>
          <w:color w:val="auto"/>
        </w:rPr>
      </w:pPr>
    </w:p>
    <w:p>
      <w:pPr>
        <w:ind w:left="1420" w:right="82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 or otherwise develop non-infringing technology, which may not be successful;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indemnify our customers and other third parties.</w:t>
      </w:r>
    </w:p>
    <w:p>
      <w:pPr>
        <w:spacing w:after="0" w:line="225" w:lineRule="exact"/>
        <w:rPr>
          <w:sz w:val="20"/>
          <w:szCs w:val="20"/>
          <w:color w:val="auto"/>
        </w:rPr>
      </w:pPr>
    </w:p>
    <w:p>
      <w:pPr>
        <w:ind w:left="120" w:right="300" w:firstLine="881"/>
        <w:spacing w:after="0" w:line="308" w:lineRule="auto"/>
        <w:rPr>
          <w:sz w:val="20"/>
          <w:szCs w:val="20"/>
          <w:color w:val="auto"/>
        </w:rPr>
      </w:pPr>
      <w:r>
        <w:rPr>
          <w:rFonts w:ascii="Arial" w:cs="Arial" w:eastAsia="Arial" w:hAnsi="Arial"/>
          <w:sz w:val="17"/>
          <w:szCs w:val="17"/>
          <w:color w:val="auto"/>
        </w:rPr>
        <w:t>Any license we may enter into as a result of litigation may be non-exclusive, and therefore our competitors may have access to the same technology licensed to us. Any of the foregoing events could adversely affect our business and results of operations.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future litigation against us could damage our reputation and be costly and time-consuming to defend.</w:t>
      </w:r>
    </w:p>
    <w:p>
      <w:pPr>
        <w:spacing w:after="0" w:line="225"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customers in connection with commercial disputes or employment claims made by current or former employees. Litigation might result in reputational damage and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 While we currently are not aware of any material pending or threatened litigation against us, we can make no assurances the same will continue to be true in the future.</w:t>
      </w:r>
    </w:p>
    <w:p>
      <w:pPr>
        <w:spacing w:after="0" w:line="18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spacing w:after="0" w:line="184" w:lineRule="exact"/>
        <w:rPr>
          <w:sz w:val="20"/>
          <w:szCs w:val="20"/>
          <w:color w:val="auto"/>
        </w:rPr>
      </w:pPr>
    </w:p>
    <w:p>
      <w:pPr>
        <w:jc w:val="both"/>
        <w:ind w:left="120" w:right="240" w:firstLine="881"/>
        <w:spacing w:after="0" w:line="287" w:lineRule="auto"/>
        <w:rPr>
          <w:sz w:val="20"/>
          <w:szCs w:val="20"/>
          <w:color w:val="auto"/>
        </w:rPr>
      </w:pPr>
      <w:r>
        <w:rPr>
          <w:rFonts w:ascii="Arial" w:cs="Arial" w:eastAsia="Arial" w:hAnsi="Arial"/>
          <w:sz w:val="16"/>
          <w:szCs w:val="16"/>
          <w:color w:val="auto"/>
        </w:rPr>
        <w:t>We have funded our operations since inception primarily through equity financings and receipts generated from customers. We cannot be certain when or if our operations will generate sufficient cash to fund our ongoing operations or the growth of our business. We intend to continue to make investments to support our business and may require additional funds. Moreover, we do not expect to be profitable for the foreseeable future.</w:t>
      </w:r>
    </w:p>
    <w:p>
      <w:pPr>
        <w:spacing w:after="0" w:line="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Additional financing may not be available on favorable terms, if at all. If adequate funds are not available on acceptable terms, we may be unable to invest in future growth opportunities, which could adversely affect our business and results of operations. If we incur debt, the lenders would have rights senior to holders of common stock to make claims on our assets, the terms of any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The market data and forecasts included in this prospectus may prove to be inaccurate, and even if the markets in which we compete achieve the forecasted growth, we cannot assure you that our business will grow at similar rates, or at all.</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third-party market data and forecasts included in this prospectus, as well as our internal estimates and research, are subject to significant uncertainty and are based on assumptions and estimates that may not prove to be accurate, although we have no reason to believe such information is not correct and we are in any case responsible for the contents of this prospectus. If the forecasts of market growth, anticipated spending or predictions regarding market size prove to be inaccurate, our business and growth prospects could be adversely affected. Even if all or some of the forecasted growth occurs, our business may not grow at a similar rate, or at all. Our future growth is subject to many factors, including our ability to successfully implement our business strategy, which itself is subject to many risks and uncertainties. The reports described in this prospectus speak as of their respective publication dates and the opinions expressed in such reports are subject to change. Accordingly, investors in our common stock are urged not to put undue reliance on such forecasts and market data.</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We have incurred substantial net operating losses (“NOLs”) during our history. U.S. federal and certain state NOLs generated in taxable years beginning after December 31, 2017 are not subject to expiration. Federal NOLs generally may not be carried back to prior taxable years except that, under the Coronavirus Aid, Relief and Economic Security (CARES) Act, federal NOLs generated in 2018, 2019 and 2020 may be carried back to each of the five taxable years preceding the taxable year in which the loss arises. Additionally, for taxable years beginning after December 31, 2020, the deductibility of federal NOLs is limited to 80% of our taxable income in such taxable year. NOLs generated in tax years before 2018 may still be used to offset future taxable income without regard to the 80% limitation, although they have the potential to expire without being utilized if we do not achieve profitability in the future.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and other pre-change tax attributes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this offering or future transactions in our stock, then we may be limited in our ability to use our NOL carryforwards to offset our future taxable income, if any.</w:t>
      </w:r>
    </w:p>
    <w:p>
      <w:pPr>
        <w:spacing w:after="0" w:line="17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Amendments to existing tax laws, rules or regulations or enactment of new unfavorable tax laws, rules or regulations could have an adverse effect on our business and operating results.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was enacted in 2017 and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In addition, on March 27, 2020, President Trump signed into law the CARES Act, which included certain changes in tax law intended to stimulate the U.S. economy in light of the COVID-19 pandemic, including temporary beneficial changes to the treatment of net operating losses, interest deductibility limitations and payroll tax matters. Many of the provisions of the Tax Cuts and Jobs Act and CARES Act still require guidance through the issuance and/or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finalization of regulations by the U.S. Treasury Department in order to fully assess their effects, and there may be substantial delays before such regulations are promulgated and/or finalized, increasing the uncertainty as to the ultimate effects of the Tax Cuts and Jobs Act and CARES Act on us and our stockholders. There also may be technical corrections legislation or other legislative changes proposed with respect to the Tax Cuts and Jobs Act and CARES Act, the effects of which cannot be predicted and may be adverse to us or our stockholders.</w:t>
      </w:r>
    </w:p>
    <w:p>
      <w:pPr>
        <w:spacing w:after="0" w:line="17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170"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may be harmed or rendered inoperable by such natural or man-made disasters, which may cause disruptions, difficulties or otherwise materially and adversely affect our business. Additionally, to the extent the COVID-19 pandemic adversely affects our business and financial results, it may also have the effect of heightening many of the other risks described in this ‘‘Risk Factors’’ section, such as our ability to achieve profitability in the future, our ability to attract new customers or continue to broaden our existing customers’ use of our solution and the impact of any decrease in technology spend by customers and potential customers in the financial services industry where we derive all of our revenues.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or may decline steeply or suddenly regardless of our operating performance and we may not be able to meet investor or analyst expectations and you may lose all or part of your investment.</w:t>
      </w:r>
    </w:p>
    <w:p>
      <w:pPr>
        <w:spacing w:after="0" w:line="170"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market price of our common stock may fluctuate or decline significantly in response to numerous factors, many of which are beyond our control, including:</w:t>
      </w:r>
    </w:p>
    <w:p>
      <w:pPr>
        <w:spacing w:after="0" w:line="197" w:lineRule="exact"/>
        <w:rPr>
          <w:sz w:val="20"/>
          <w:szCs w:val="20"/>
          <w:color w:val="auto"/>
        </w:rPr>
      </w:pPr>
    </w:p>
    <w:p>
      <w:pPr>
        <w:ind w:left="1420" w:hanging="319"/>
        <w:spacing w:after="0"/>
        <w:tabs>
          <w:tab w:leader="none" w:pos="1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variations between our actual operating results and the expectations of securities analysts, investors and the financial community;</w:t>
      </w:r>
    </w:p>
    <w:p>
      <w:pPr>
        <w:spacing w:after="0" w:line="275" w:lineRule="exact"/>
        <w:rPr>
          <w:rFonts w:ascii="Arial" w:cs="Arial" w:eastAsia="Arial" w:hAnsi="Arial"/>
          <w:sz w:val="16"/>
          <w:szCs w:val="16"/>
          <w:color w:val="auto"/>
        </w:rPr>
      </w:pPr>
    </w:p>
    <w:p>
      <w:pPr>
        <w:ind w:left="1420" w:right="56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97"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us or our failure to meet these estimates or the expectations of investors;</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shares of our common stock being sold into the market by us or our existing stockholders, or the anticipation of such sales, including if existing stockholders sell shares into the market when applicable “lock-up” periods end;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hedging activities by market participants;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6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COVID-19, political conditions, election cycles, war or incidents of terrorism, or responses to these events.</w:t>
      </w:r>
    </w:p>
    <w:p>
      <w:pPr>
        <w:spacing w:after="0" w:line="170"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7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Concurrent or future sales of shares by existing stockholders could cause our stock price to decline.</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If our existing stockholders, including employees who obtain equity, sell or indicate an intention to sell, substantial amounts of our common stock in the public market after the lock-up and legal restrictions on resale discussed in this prospectus lapse, the trading price of our common stock could decline.</w:t>
      </w:r>
    </w:p>
    <w:p>
      <w:pPr>
        <w:spacing w:after="0" w:line="18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connection with our IPO, each of our directors, executive officers and holders of substantially all of our outstanding equity securities entered into lock-up agreements with BofA Securities, Inc. and Barclays Capital Inc. (collectively, the “Representatives”) which restrict their ability to sell or transfer their shares until January 9, 2021, subject to certain exceptions (the “Underwriter Lock-up Agreements”). The Representatives may, in their sole discretion, waive the Underwriter Lock-up Agreements before the expiration of the lock-up period. In order to effect this offering, the Representatives intend to release the applicable lock-up restrictions set forth in the Underwriter Lock-up Agreements solely with respect to any shares to be sold by the selling stockholders in this offering.</w:t>
      </w:r>
    </w:p>
    <w:p>
      <w:pPr>
        <w:spacing w:after="0" w:line="192"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As of July 31, 2020, we had 91,122,356 shares of common stock outstanding. In connection with our IPO, certain stockholders entered into lock-up agreements with us which restrict their ability to sell or transfer their shares until January 9, 2021, subject to certain exceptions (the “Company Lock-up Agreements”). Concurrently with the pricing of this offering, we have agreed to a partial release of shares held by these stockholders that are currently subject to the Company Lock-up Agreements, in an aggregate amount of approximately 370,000 shares of common stock. This release is contingent upon the pricing of this offering, but upon such pricing, such shares of common stock that are released will become freely tradable subject to applicable securities laws.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Only the shares of common stock sold in our IPO, sold in this offering or released as described in the preceding two paragraphs will be freely tradable, without restriction, in the public market immediately after this offering. Each of our directors, executive officers and selling stockholders are subject to lock-up agreements that restrict their ability to sell or transfer their shares until the later of 90 days after the date of this prospectus or January 9, 2021, subject to certain exceptions.</w:t>
      </w:r>
    </w:p>
    <w:p>
      <w:pPr>
        <w:spacing w:after="0" w:line="187"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After the lock-up agreements expire, all 91,122,356 shares outstanding as of July 31, 2020 will be eligible for sale in the public market, of which, after giving effect to the sale of shares in this offering, 49,706,975 shares are held by directors, executive officers and other affiliates and will be subject to volume limitations under Rule 144 of the Securities Act of 1933, as amended (the “Securities Act”), and various vesting agreements. Sales of a substantial number of such shares upon the concurrent release of lock-up restrictions in connection with this offering or the expiration or any future earlier release of the lock-up and market stand-off agreements or, the perception that such sales may occur, could cause our market price to fall or make it more difficult for you to sell your common stock at a time and price that you deem appropriate.</w:t>
      </w:r>
    </w:p>
    <w:p>
      <w:pPr>
        <w:spacing w:after="0" w:line="16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addition, 7,433,101 shares of common stock were subject to outstanding stock options, 224,507 shares of common stock were subject to vested RSUs, and 1,839,836 RSUs were outstanding as of August 31, 2020. These shares will become eligible for sale in the public market to the extent permitted by the provisions of various vesting agreements, lock-up agreements and Rules 144 and 701 of the Securities Act. The shares covered by that registration statement will be eligible for sale in the public markets, subject to Rule 144 limitations applicable to affiliates and the lock-up agreements described above. If these additional shares are sold, or if it is perceived that they will be sold in the public market, the trading price of our common stock could decline.</w:t>
      </w:r>
    </w:p>
    <w:p>
      <w:pPr>
        <w:spacing w:after="0" w:line="1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publish inaccurate or unfavorable research about us or cease publishing research on us at all, our business or our market, or if they change their recommendations regarding our common stock adversely, the trading price or trading volume of our common stock could decline.</w:t>
      </w:r>
    </w:p>
    <w:p>
      <w:pPr>
        <w:spacing w:after="0" w:line="184"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covers us, or may cover us, were to cease coverage of us or fail to regularly publish reports on us, we could lose visibility in the financial markets, which in turn could cause the trading price or trading volume of our common stock to decline.</w:t>
      </w:r>
    </w:p>
    <w:p>
      <w:pPr>
        <w:spacing w:after="0" w:line="161"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46" w:lineRule="exact"/>
        <w:rPr>
          <w:sz w:val="20"/>
          <w:szCs w:val="20"/>
          <w:color w:val="auto"/>
        </w:rPr>
      </w:pPr>
    </w:p>
    <w:p>
      <w:pPr>
        <w:ind w:left="120" w:right="60" w:firstLine="881"/>
        <w:spacing w:after="0" w:line="342" w:lineRule="auto"/>
        <w:rPr>
          <w:sz w:val="20"/>
          <w:szCs w:val="20"/>
          <w:color w:val="auto"/>
        </w:rPr>
      </w:pPr>
      <w:r>
        <w:rPr>
          <w:rFonts w:ascii="Arial" w:cs="Arial" w:eastAsia="Arial" w:hAnsi="Arial"/>
          <w:sz w:val="16"/>
          <w:szCs w:val="16"/>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51" w:lineRule="exact"/>
        <w:rPr>
          <w:sz w:val="20"/>
          <w:szCs w:val="20"/>
          <w:color w:val="auto"/>
        </w:rPr>
      </w:pPr>
    </w:p>
    <w:p>
      <w:pPr>
        <w:ind w:left="1420" w:right="12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263" w:lineRule="exact"/>
        <w:rPr>
          <w:rFonts w:ascii="Arial" w:cs="Arial" w:eastAsia="Arial" w:hAnsi="Arial"/>
          <w:sz w:val="17"/>
          <w:szCs w:val="17"/>
          <w:color w:val="auto"/>
        </w:rPr>
      </w:pPr>
    </w:p>
    <w:p>
      <w:pPr>
        <w:ind w:left="1420" w:right="6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As a result, our stockholders may not have access to certain information they may deem important. We could be an emerging growth company for up to five years from our IPO, although circumstances could cause us to lose that status earlier, including if our total annual gross revenues exceed $1.07 billion, if we issue more than $1.0 billion in non-convertible debt securities during any three-year period, or if we are a large accelerated filer and the market value of our common stock held by non-affiliates exceeds $700 million as of the end of any second quarter before that time.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77"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elected to use the extended transition period for complying with new or revised accounting standards that have different effective dates for public and private companies until the earlier of the date that we (1) are no longer an emerging growth company or</w:t>
      </w:r>
    </w:p>
    <w:p>
      <w:pPr>
        <w:spacing w:after="0" w:line="2" w:lineRule="exact"/>
        <w:rPr>
          <w:sz w:val="20"/>
          <w:szCs w:val="20"/>
          <w:color w:val="auto"/>
        </w:rPr>
      </w:pPr>
    </w:p>
    <w:p>
      <w:pPr>
        <w:ind w:left="120" w:right="160" w:hanging="4"/>
        <w:spacing w:after="0" w:line="290" w:lineRule="auto"/>
        <w:tabs>
          <w:tab w:leader="none" w:pos="3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61"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b w:val="1"/>
          <w:bCs w:val="1"/>
          <w:i w:val="1"/>
          <w:iCs w:val="1"/>
          <w:color w:val="auto"/>
        </w:rPr>
        <w:t>As a result of becoming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We will be required, pursuant to Section 404 of the Sarbanes-Oxley Act, to furnish a report by management on, among other things, the effectiveness of our internal control over financial reporting on an annual basis, beginning with our 2022 fiscal year.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We will be required to disclose significant changes made in our internal control procedures on a quarterly basis.</w:t>
      </w:r>
    </w:p>
    <w:p>
      <w:pPr>
        <w:spacing w:after="0" w:line="17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Our compliance with Section 404 will require that we incur substantial accounting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7"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and operating results.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securities issuances could result in significant dilution to our stockholders and impair the market price of our common stock.</w:t>
      </w:r>
    </w:p>
    <w:p>
      <w:pPr>
        <w:spacing w:after="0" w:line="23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in this offering bear the risk that future issuances of debt or equity securities may reduce the value of our common stock and further dilute their ownership interest.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will require substantial management attention.</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As a public company, we have incurred and will continue to incur substantial legal, accounting and other expenses that we did not incur as a private company. For example, we are subject to the reporting requirements of the Exchange Act, the applicable requirements of the Sarbanes-Oxley Act and the Dodd-Frank Wall Street Reform and Consumer Protection Act, the rules and regulations of the SEC, and the rules and regulations of The Nasdaq Global Select Market. As part of the new requirements, we have established and maintain effective disclosure and financial controls and made changes to our corporate governance practices. Compliance with these requirements has and will continue to increase our legal and financial compliance costs and will make some activities more time-consuming.</w:t>
      </w:r>
    </w:p>
    <w:p>
      <w:pPr>
        <w:spacing w:after="0" w:line="178"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management and other personnel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are in the process of hiring additional accounting and financial staff with appropriate public company experience and technical accounting knowledge.</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211" w:lineRule="exact"/>
        <w:rPr>
          <w:sz w:val="20"/>
          <w:szCs w:val="20"/>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252" w:lineRule="exact"/>
        <w:rPr>
          <w:rFonts w:ascii="Arial" w:cs="Arial" w:eastAsia="Arial" w:hAnsi="Arial"/>
          <w:sz w:val="18"/>
          <w:szCs w:val="18"/>
          <w:color w:val="auto"/>
        </w:rPr>
      </w:pPr>
    </w:p>
    <w:p>
      <w:pPr>
        <w:ind w:left="5540" w:right="700" w:hanging="4439"/>
        <w:spacing w:after="0" w:line="449" w:lineRule="auto"/>
        <w:tabs>
          <w:tab w:leader="none" w:pos="14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bylaws; 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84"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w:t>
      </w:r>
    </w:p>
    <w:p>
      <w:pPr>
        <w:ind w:left="120" w:hanging="4"/>
        <w:spacing w:after="0" w:line="290" w:lineRule="auto"/>
        <w:tabs>
          <w:tab w:leader="none" w:pos="3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64" w:lineRule="exact"/>
        <w:rPr>
          <w:sz w:val="20"/>
          <w:szCs w:val="20"/>
          <w:color w:val="auto"/>
        </w:rPr>
      </w:pPr>
    </w:p>
    <w:p>
      <w:pPr>
        <w:ind w:left="120" w:right="700" w:firstLine="881"/>
        <w:spacing w:after="0" w:line="342" w:lineRule="auto"/>
        <w:rPr>
          <w:sz w:val="20"/>
          <w:szCs w:val="20"/>
          <w:color w:val="auto"/>
        </w:rPr>
      </w:pPr>
      <w:r>
        <w:rPr>
          <w:rFonts w:ascii="Arial" w:cs="Arial" w:eastAsia="Arial" w:hAnsi="Arial"/>
          <w:sz w:val="16"/>
          <w:szCs w:val="16"/>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24"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57"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This prospectus contains forward-looking statements within the meaning of the Private Securities Litigation Reform Act of 1995. All statements other than statements of historical fact contained in this prospectus, including statements regarding our future results of operations and financial condition,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1"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“should,” “expects,” “plans,” “anticipates,” “could,” “intends,” “target,” “projects,”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221" w:lineRule="exact"/>
        <w:rPr>
          <w:sz w:val="20"/>
          <w:szCs w:val="20"/>
          <w:color w:val="auto"/>
        </w:rPr>
      </w:pPr>
    </w:p>
    <w:p>
      <w:pPr>
        <w:ind w:left="1420" w:right="28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revenues, cost of revenues, operating expenses, and our ability to achieve and maintain future profitability;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execute strategies, plans, objectives and goals;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effectively manage privacy, information and data security;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associated with research and development and building out our sales team;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spending by financial institutions in cloud-based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add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expand internationally and associated costs;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and management of future growth based on subscription revenues over terms of contracts;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concerning relationships with our customers, partners and other third parties;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COVID-19 on our industry, business and results of operations;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relationship with Salesforce and our 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 sales fluctuations;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add capacity and automation to our operations;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This prospectus contains estimates, projections and other information concerning our industry, including market size and growth rates of the markets in which we participate, and discussion of our general expectations, market position and market opportunity. Although we are responsible for the disclosure contained in this prospectus, this information is based on various sources, including reports and publications from Accenture, Ernst &amp; Young, Gartner, IDC, McKinsey &amp; Company, PricewaterhouseCoopers and other industry publications, surveys and forecasts, and assumptions we have made that are based on such data and other similar sources and on our knowledge of the markets for our solution. This information involves a number of assumptions and limitations, and you are cautioned not to give undue weight to these estimates. These publications, studies and reports were published before the COVID-19 pandemic and therefore do not reflect any impact of COVID-19 on any specific market or globally.</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reports and publications appearing in this prospectus include:</w:t>
      </w:r>
    </w:p>
    <w:p>
      <w:pPr>
        <w:spacing w:after="0" w:line="252" w:lineRule="exact"/>
        <w:rPr>
          <w:sz w:val="20"/>
          <w:szCs w:val="20"/>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Accenture, 2018 North America Banking Operations Survey, March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Accenture, Redefine Banking with Artificial Intelligence, January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Celent and NEX, Cloud in Capital Markets: Getting Ahead of Tomorrow, March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Ernst &amp; Young LLC, Global Banking Outlook 2018: Pivoting Toward an Innovation-Led Strategy, May 2018.</w:t>
      </w:r>
    </w:p>
    <w:p>
      <w:pPr>
        <w:spacing w:after="0" w:line="252" w:lineRule="exact"/>
        <w:rPr>
          <w:rFonts w:ascii="Arial" w:cs="Arial" w:eastAsia="Arial" w:hAnsi="Arial"/>
          <w:sz w:val="18"/>
          <w:szCs w:val="18"/>
          <w:color w:val="auto"/>
        </w:rPr>
      </w:pPr>
    </w:p>
    <w:p>
      <w:pPr>
        <w:ind w:left="1420" w:right="40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Gartner, Forecast: Enterprise IT Spending by Vertical Industry Market, Worldwide, 2017-2023, 3Q19 Update, Neha Gupta, et al., October 2019.</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Grata Inc., nCino Global Banking Market Study Summary Report, October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IDC, Worldwide Semi Annual Public Cloud Services Spending Guide, 2018H2, June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McKinsey &amp; Company, Inc., Bots, Algorithms, and the Future of the Finance Function, January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McKinsey &amp; Company, Inc., McKinsey on Payments—Special Edition on Advanced Analytics in Banking, August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PricewaterhouseCoopers, Consumer Digital Banking Survey, June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Thomson Reuters, Cost of Compliance 2019: 10 Years of Regulatory Change, June 2019.</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Industry data and other third-party information have been obtained from sources believed to be reliable, but we have not independently verified any third-party information.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third parties and by us.</w:t>
      </w:r>
    </w:p>
    <w:p>
      <w:pPr>
        <w:spacing w:after="0" w:line="188"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The Gartner Report(s) described herein, (the “Gartner Report(s)”) represent(s) research opinion or viewpoints published, as part of a syndicated subscription service, by Gartner, Inc. (“Gartner”), and are not representations of fact. Each Gartner Report speaks as of its original publication date (and not as of the date of this prospectus) and the opinions expressed in the Gartner Report(s) are subject to change without notice. The banking market falls within the banking and securities market in Gartner’s industry data set. Calculations on Gartner industry data were performed by nCino.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selling stockholders will receive all of the proceeds from this offering. We will not receive any proceeds from the sale of shares in this offering. For more information on our selling stockholders see “Principal and Selling Stockholders”.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320" w:top="459" w:right="5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The following table sets forth our cash and cash equivalents and capitalization as of July 31, 2020. You should read this table together with the sections titled “Selected Consolidated Financial and Other Data,” “Use of Proceeds,” “Management’s Discussion and Analysis of Financial Condition and Results of Operations” and our consolidated financial statements and related notes included elsewhere in this prospectus.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July 31,</w:t>
            </w:r>
          </w:p>
        </w:tc>
        <w:tc>
          <w:tcPr>
            <w:tcW w:w="0" w:type="dxa"/>
            <w:vAlign w:val="bottom"/>
          </w:tcPr>
          <w:p>
            <w:pPr>
              <w:spacing w:after="0"/>
              <w:rPr>
                <w:sz w:val="1"/>
                <w:szCs w:val="1"/>
                <w:color w:val="auto"/>
              </w:rPr>
            </w:pPr>
          </w:p>
        </w:tc>
      </w:tr>
      <w:tr>
        <w:trPr>
          <w:trHeight w:val="171"/>
        </w:trPr>
        <w:tc>
          <w:tcPr>
            <w:tcW w:w="10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388,191</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$0.001 par value; 10,000,000 shares authorized and none issued and outstanding</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Common stock, $0.0005 par value; 500,000,000 shares authorized; 91,122,356 shares issued and outstanding;</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567,314</w:t>
            </w:r>
          </w:p>
        </w:tc>
        <w:tc>
          <w:tcPr>
            <w:tcW w:w="0" w:type="dxa"/>
            <w:vAlign w:val="bottom"/>
          </w:tcPr>
          <w:p>
            <w:pPr>
              <w:spacing w:after="0"/>
              <w:rPr>
                <w:sz w:val="1"/>
                <w:szCs w:val="1"/>
                <w:color w:val="auto"/>
              </w:rPr>
            </w:pP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Additional other comprehensive income</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(140,072)</w:t>
            </w:r>
          </w:p>
        </w:tc>
        <w:tc>
          <w:tcPr>
            <w:tcW w:w="0" w:type="dxa"/>
            <w:vAlign w:val="bottom"/>
          </w:tcPr>
          <w:p>
            <w:pPr>
              <w:spacing w:after="0"/>
              <w:rPr>
                <w:sz w:val="1"/>
                <w:szCs w:val="1"/>
                <w:color w:val="auto"/>
              </w:rPr>
            </w:pPr>
          </w:p>
        </w:tc>
      </w:tr>
      <w:tr>
        <w:trPr>
          <w:trHeight w:val="230"/>
        </w:trPr>
        <w:tc>
          <w:tcPr>
            <w:tcW w:w="1006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427,490</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91,122,356 shares of our common stock outstanding as of July 31, 2020 and excludes:</w:t>
      </w:r>
    </w:p>
    <w:p>
      <w:pPr>
        <w:spacing w:after="0" w:line="197" w:lineRule="exact"/>
        <w:rPr>
          <w:sz w:val="20"/>
          <w:szCs w:val="20"/>
          <w:color w:val="auto"/>
        </w:rPr>
      </w:pPr>
    </w:p>
    <w:p>
      <w:pPr>
        <w:ind w:left="1420" w:right="18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7,464,094 shares of common stock issuable upon exercise of options outstanding as of July 31, 2020, at a weighted-average exercise price of $5.48 per share under our existing equity plans;</w:t>
      </w:r>
    </w:p>
    <w:p>
      <w:pPr>
        <w:spacing w:after="0" w:line="197"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2,041,093 shares of common stock issuable upon vesting of restricted stock unit (“RSU”) awards as of July 31, 2020 at a weighted-average grant date fair value of $20.84 per share;</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17,500 shares of vested RSUs that were not issued and outstanding as of July 31, 2020 at a weighted-average grant date fair value of $20.00 per share;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13,480,341 shares of common stock reserved for future issuance as of July 31, 2020 under our 2019 Incentive Plan;</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1,800,000 shares of common stock reserved for issuance as of July 31, 2020 under our 2020 Employee Stock Purchase Plan (the “ESPP”); and</w:t>
      </w:r>
    </w:p>
    <w:p>
      <w:pPr>
        <w:spacing w:after="0" w:line="197"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5,750 shares issuable upon vesting of RSU awards granted after July 31, 2020, at a weighted-average grant date fair value of $76.48 under our 2019 Incentive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The following tables set forth our selected consolidated financial data. The selected consolidated statement of operations data for the fiscal years ended January 31, 2018, 2019 and 2020 and the selected consolidated balance sheet data as of January 31, 2018, 2019 and 2020 are each derived from our audited consolidated financial statements appearing elsewhere in this prospectus. The selected consolidated statement of operations data for the six months ended July 31, 2019 and 2020, and the selected consolidated balance sheet data as of July 31, 2020, are each derived from our unaudited financial statements appearing elsewhere in this prospectus. The selected consolidated balance sheet data as of July 31, 2019 is derived from our unaudited financial statements not included in this prospectus. We have prepared the unaudited interim financial statements on the same basis as the audited annual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w:t>
      </w:r>
    </w:p>
    <w:p>
      <w:pPr>
        <w:spacing w:after="0" w:line="196"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You should read this selected consolidated financial and other data in conjunction with the section titled “Management’s Discussion and Analysis of Financial Condition and Results of Operations” and our consolidated financial statements, related notes and other financial information included elsewhere in this prospectus.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7"/>
            <w:vMerge w:val="restart"/>
          </w:tcPr>
          <w:p>
            <w:pPr>
              <w:jc w:val="right"/>
              <w:ind w:right="12"/>
              <w:spacing w:after="0"/>
              <w:rPr>
                <w:sz w:val="20"/>
                <w:szCs w:val="20"/>
                <w:color w:val="auto"/>
              </w:rPr>
            </w:pPr>
            <w:r>
              <w:rPr>
                <w:rFonts w:ascii="Arial" w:cs="Arial" w:eastAsia="Arial" w:hAnsi="Arial"/>
                <w:sz w:val="14"/>
                <w:szCs w:val="14"/>
                <w:b w:val="1"/>
                <w:bCs w:val="1"/>
                <w:color w:val="auto"/>
                <w:w w:val="90"/>
              </w:rPr>
              <w:t>Fiscal Year Ended January 31,</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900" w:type="dxa"/>
            <w:vAlign w:val="bottom"/>
            <w:gridSpan w:val="7"/>
            <w:vMerge w:val="continue"/>
          </w:tcPr>
          <w:p>
            <w:pPr>
              <w:spacing w:after="0"/>
              <w:rPr>
                <w:sz w:val="14"/>
                <w:szCs w:val="14"/>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3"/>
          </w:tcPr>
          <w:p>
            <w:pPr>
              <w:ind w:left="340"/>
              <w:spacing w:after="0"/>
              <w:rPr>
                <w:sz w:val="20"/>
                <w:szCs w:val="20"/>
                <w:color w:val="auto"/>
              </w:rPr>
            </w:pPr>
            <w:r>
              <w:rPr>
                <w:rFonts w:ascii="Arial" w:cs="Arial" w:eastAsia="Arial" w:hAnsi="Arial"/>
                <w:sz w:val="14"/>
                <w:szCs w:val="14"/>
                <w:b w:val="1"/>
                <w:bCs w:val="1"/>
                <w:color w:val="auto"/>
              </w:rPr>
              <w:t>July 31,</w:t>
            </w:r>
          </w:p>
        </w:tc>
        <w:tc>
          <w:tcPr>
            <w:tcW w:w="240" w:type="dxa"/>
            <w:vAlign w:val="bottom"/>
          </w:tcPr>
          <w:p>
            <w:pPr>
              <w:spacing w:after="0"/>
              <w:rPr>
                <w:sz w:val="14"/>
                <w:szCs w:val="14"/>
                <w:color w:val="auto"/>
              </w:rPr>
            </w:pPr>
          </w:p>
        </w:tc>
        <w:tc>
          <w:tcPr>
            <w:tcW w:w="5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70"/>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Subscription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38,048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64,458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103,265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395"/>
              <w:spacing w:after="0"/>
              <w:rPr>
                <w:sz w:val="20"/>
                <w:szCs w:val="20"/>
                <w:color w:val="auto"/>
              </w:rPr>
            </w:pPr>
            <w:r>
              <w:rPr>
                <w:rFonts w:ascii="Arial" w:cs="Arial" w:eastAsia="Arial" w:hAnsi="Arial"/>
                <w:sz w:val="17"/>
                <w:szCs w:val="17"/>
                <w:color w:val="auto"/>
              </w:rPr>
              <w:t>44,142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74,182</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 revenues</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20,094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27,076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34,915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17,672</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19,295</w:t>
            </w:r>
          </w:p>
        </w:tc>
        <w:tc>
          <w:tcPr>
            <w:tcW w:w="0" w:type="dxa"/>
            <w:vAlign w:val="bottom"/>
          </w:tcPr>
          <w:p>
            <w:pPr>
              <w:spacing w:after="0"/>
              <w:rPr>
                <w:sz w:val="1"/>
                <w:szCs w:val="1"/>
                <w:color w:val="auto"/>
              </w:rPr>
            </w:pPr>
          </w:p>
        </w:tc>
      </w:tr>
      <w:tr>
        <w:trPr>
          <w:trHeight w:val="209"/>
        </w:trPr>
        <w:tc>
          <w:tcPr>
            <w:tcW w:w="4700" w:type="dxa"/>
            <w:vAlign w:val="bottom"/>
          </w:tcPr>
          <w:p>
            <w:pPr>
              <w:ind w:left="680"/>
              <w:spacing w:after="0"/>
              <w:rPr>
                <w:sz w:val="20"/>
                <w:szCs w:val="20"/>
                <w:color w:val="auto"/>
              </w:rPr>
            </w:pPr>
            <w:r>
              <w:rPr>
                <w:rFonts w:ascii="Arial" w:cs="Arial" w:eastAsia="Arial" w:hAnsi="Arial"/>
                <w:sz w:val="17"/>
                <w:szCs w:val="17"/>
                <w:color w:val="auto"/>
              </w:rPr>
              <w:t>Total revenues</w:t>
            </w: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91,534</w:t>
            </w:r>
          </w:p>
        </w:tc>
        <w:tc>
          <w:tcPr>
            <w:tcW w:w="5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138,180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61,814</w:t>
            </w: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93,477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r>
              <w:rPr>
                <w:rFonts w:ascii="Arial" w:cs="Arial" w:eastAsia="Arial" w:hAnsi="Arial"/>
                <w:sz w:val="14"/>
                <w:szCs w:val="14"/>
                <w:color w:val="auto"/>
              </w:rPr>
              <w:t>(1)</w:t>
            </w: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Cost of subscription revenue</w:t>
            </w:r>
          </w:p>
        </w:tc>
        <w:tc>
          <w:tcPr>
            <w:tcW w:w="80" w:type="dxa"/>
            <w:vAlign w:val="bottom"/>
          </w:tcPr>
          <w:p>
            <w:pPr>
              <w:spacing w:after="0"/>
              <w:rPr>
                <w:sz w:val="17"/>
                <w:szCs w:val="17"/>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12,581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19,995</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31,062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95"/>
              <w:spacing w:after="0"/>
              <w:rPr>
                <w:sz w:val="20"/>
                <w:szCs w:val="20"/>
                <w:color w:val="auto"/>
              </w:rPr>
            </w:pPr>
            <w:r>
              <w:rPr>
                <w:rFonts w:ascii="Arial" w:cs="Arial" w:eastAsia="Arial" w:hAnsi="Arial"/>
                <w:sz w:val="17"/>
                <w:szCs w:val="17"/>
                <w:color w:val="auto"/>
              </w:rPr>
              <w:t>13,585</w:t>
            </w:r>
          </w:p>
        </w:tc>
        <w:tc>
          <w:tcPr>
            <w:tcW w:w="10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22,019</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professional services revenue</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17,890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26,456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33,008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15,223</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19,434</w:t>
            </w:r>
          </w:p>
        </w:tc>
        <w:tc>
          <w:tcPr>
            <w:tcW w:w="0" w:type="dxa"/>
            <w:vAlign w:val="bottom"/>
          </w:tcPr>
          <w:p>
            <w:pPr>
              <w:spacing w:after="0"/>
              <w:rPr>
                <w:sz w:val="1"/>
                <w:szCs w:val="1"/>
                <w:color w:val="auto"/>
              </w:rPr>
            </w:pPr>
          </w:p>
        </w:tc>
      </w:tr>
      <w:tr>
        <w:trPr>
          <w:trHeight w:val="217"/>
        </w:trPr>
        <w:tc>
          <w:tcPr>
            <w:tcW w:w="4700" w:type="dxa"/>
            <w:vAlign w:val="bottom"/>
          </w:tcPr>
          <w:p>
            <w:pPr>
              <w:ind w:left="680"/>
              <w:spacing w:after="0"/>
              <w:rPr>
                <w:sz w:val="20"/>
                <w:szCs w:val="20"/>
                <w:color w:val="auto"/>
              </w:rPr>
            </w:pPr>
            <w:r>
              <w:rPr>
                <w:rFonts w:ascii="Arial" w:cs="Arial" w:eastAsia="Arial" w:hAnsi="Arial"/>
                <w:sz w:val="17"/>
                <w:szCs w:val="17"/>
                <w:color w:val="auto"/>
              </w:rPr>
              <w:t>Total cost of revenue</w:t>
            </w: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46,451</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28,808</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41,453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27,671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45,083</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74,110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33,006</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52,024</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20,954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31,278</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44,440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18,468</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27,852</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80" w:type="dxa"/>
            <w:vAlign w:val="bottom"/>
          </w:tcPr>
          <w:p>
            <w:pPr>
              <w:spacing w:after="0"/>
              <w:rPr>
                <w:sz w:val="17"/>
                <w:szCs w:val="17"/>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16,559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22,230</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35,304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95"/>
              <w:spacing w:after="0"/>
              <w:rPr>
                <w:sz w:val="20"/>
                <w:szCs w:val="20"/>
                <w:color w:val="auto"/>
              </w:rPr>
            </w:pPr>
            <w:r>
              <w:rPr>
                <w:rFonts w:ascii="Arial" w:cs="Arial" w:eastAsia="Arial" w:hAnsi="Arial"/>
                <w:sz w:val="17"/>
                <w:szCs w:val="17"/>
                <w:color w:val="auto"/>
              </w:rPr>
              <w:t>15,638</w:t>
            </w:r>
          </w:p>
        </w:tc>
        <w:tc>
          <w:tcPr>
            <w:tcW w:w="10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26,257</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8,933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14,791</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22,536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10,339</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17,879</w:t>
            </w:r>
          </w:p>
        </w:tc>
        <w:tc>
          <w:tcPr>
            <w:tcW w:w="0" w:type="dxa"/>
            <w:vAlign w:val="bottom"/>
          </w:tcPr>
          <w:p>
            <w:pPr>
              <w:spacing w:after="0"/>
              <w:rPr>
                <w:sz w:val="1"/>
                <w:szCs w:val="1"/>
                <w:color w:val="auto"/>
              </w:rPr>
            </w:pPr>
          </w:p>
        </w:tc>
      </w:tr>
      <w:tr>
        <w:trPr>
          <w:trHeight w:val="216"/>
        </w:trPr>
        <w:tc>
          <w:tcPr>
            <w:tcW w:w="4700" w:type="dxa"/>
            <w:vAlign w:val="bottom"/>
          </w:tcPr>
          <w:p>
            <w:pPr>
              <w:ind w:left="680"/>
              <w:spacing w:after="0"/>
              <w:rPr>
                <w:sz w:val="20"/>
                <w:szCs w:val="20"/>
                <w:color w:val="auto"/>
              </w:rPr>
            </w:pPr>
            <w:r>
              <w:rPr>
                <w:rFonts w:ascii="Arial" w:cs="Arial" w:eastAsia="Arial" w:hAnsi="Arial"/>
                <w:sz w:val="17"/>
                <w:szCs w:val="17"/>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68,299</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102,280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44,445</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71,988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(18,775)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(23,216)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(28,170)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35"/>
              <w:spacing w:after="0"/>
              <w:rPr>
                <w:sz w:val="20"/>
                <w:szCs w:val="20"/>
                <w:color w:val="auto"/>
              </w:rPr>
            </w:pPr>
            <w:r>
              <w:rPr>
                <w:rFonts w:ascii="Arial" w:cs="Arial" w:eastAsia="Arial" w:hAnsi="Arial"/>
                <w:sz w:val="17"/>
                <w:szCs w:val="17"/>
                <w:color w:val="auto"/>
              </w:rPr>
              <w:t>(11,439)</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(19,964)</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color w:val="auto"/>
              </w:rPr>
              <w:t>Non-operating income (expense):</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income</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1,193</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988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583</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(89)</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35"/>
              <w:spacing w:after="0"/>
              <w:rPr>
                <w:sz w:val="20"/>
                <w:szCs w:val="20"/>
                <w:color w:val="auto"/>
              </w:rPr>
            </w:pPr>
            <w:r>
              <w:rPr>
                <w:rFonts w:ascii="Arial" w:cs="Arial" w:eastAsia="Arial" w:hAnsi="Arial"/>
                <w:sz w:val="17"/>
                <w:szCs w:val="17"/>
                <w:color w:val="auto"/>
              </w:rPr>
              <w:t>(727)</w:t>
            </w:r>
          </w:p>
        </w:tc>
        <w:tc>
          <w:tcPr>
            <w:tcW w:w="10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 expense</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(18,539)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(22,112)</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(27,149)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35"/>
              <w:spacing w:after="0"/>
              <w:rPr>
                <w:sz w:val="20"/>
                <w:szCs w:val="20"/>
                <w:color w:val="auto"/>
              </w:rPr>
            </w:pPr>
            <w:r>
              <w:rPr>
                <w:rFonts w:ascii="Arial" w:cs="Arial" w:eastAsia="Arial" w:hAnsi="Arial"/>
                <w:sz w:val="17"/>
                <w:szCs w:val="17"/>
                <w:color w:val="auto"/>
              </w:rPr>
              <w:t>(11,583)</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(19,156)</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Income tax expense</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194</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95"/>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(18,589)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(22,306)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(27,735)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35"/>
              <w:spacing w:after="0"/>
              <w:rPr>
                <w:sz w:val="20"/>
                <w:szCs w:val="20"/>
                <w:color w:val="auto"/>
              </w:rPr>
            </w:pPr>
            <w:r>
              <w:rPr>
                <w:rFonts w:ascii="Arial" w:cs="Arial" w:eastAsia="Arial" w:hAnsi="Arial"/>
                <w:sz w:val="17"/>
                <w:szCs w:val="17"/>
                <w:color w:val="auto"/>
              </w:rPr>
              <w:t>(11,921)</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(19,556)</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color w:val="auto"/>
              </w:rPr>
              <w:t>Net loss attributable to non-controlling interest</w:t>
            </w:r>
          </w:p>
        </w:tc>
        <w:tc>
          <w:tcPr>
            <w:tcW w:w="80" w:type="dxa"/>
            <w:vAlign w:val="bottom"/>
          </w:tcPr>
          <w:p>
            <w:pPr>
              <w:spacing w:after="0"/>
              <w:rPr>
                <w:sz w:val="17"/>
                <w:szCs w:val="17"/>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183"/>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47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Adjustment attributable to non-controlling interest</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9"/>
        </w:trPr>
        <w:tc>
          <w:tcPr>
            <w:tcW w:w="4700" w:type="dxa"/>
            <w:vAlign w:val="bottom"/>
          </w:tcPr>
          <w:p>
            <w:pPr>
              <w:ind w:left="340"/>
              <w:spacing w:after="0"/>
              <w:rPr>
                <w:sz w:val="20"/>
                <w:szCs w:val="20"/>
                <w:color w:val="auto"/>
              </w:rPr>
            </w:pPr>
            <w:r>
              <w:rPr>
                <w:rFonts w:ascii="Arial" w:cs="Arial" w:eastAsia="Arial" w:hAnsi="Arial"/>
                <w:sz w:val="17"/>
                <w:szCs w:val="17"/>
                <w:color w:val="auto"/>
              </w:rPr>
              <w:t>Net loss attributable to nCino,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(18,589</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(22,306</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(27,594</w:t>
            </w:r>
          </w:p>
        </w:tc>
        <w:tc>
          <w:tcPr>
            <w:tcW w:w="260" w:type="dxa"/>
            <w:vAlign w:val="bottom"/>
          </w:tcPr>
          <w:p>
            <w:pPr>
              <w:jc w:val="right"/>
              <w:ind w:right="183"/>
              <w:spacing w:after="0"/>
              <w:rPr>
                <w:sz w:val="20"/>
                <w:szCs w:val="20"/>
                <w:color w:val="auto"/>
              </w:rPr>
            </w:pPr>
            <w:r>
              <w:rPr>
                <w:rFonts w:ascii="Arial" w:cs="Arial" w:eastAsia="Arial" w:hAnsi="Arial"/>
                <w:sz w:val="7"/>
                <w:szCs w:val="7"/>
                <w:color w:val="auto"/>
                <w:w w:val="83"/>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(11,921</w:t>
            </w:r>
          </w:p>
        </w:tc>
        <w:tc>
          <w:tcPr>
            <w:tcW w:w="48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(19,415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nCino, Inc.:</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(0.27)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(0.30)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3"/>
              <w:spacing w:after="0"/>
              <w:rPr>
                <w:sz w:val="20"/>
                <w:szCs w:val="20"/>
                <w:color w:val="auto"/>
              </w:rPr>
            </w:pPr>
            <w:r>
              <w:rPr>
                <w:rFonts w:ascii="Arial" w:cs="Arial" w:eastAsia="Arial" w:hAnsi="Arial"/>
                <w:sz w:val="17"/>
                <w:szCs w:val="17"/>
                <w:color w:val="auto"/>
              </w:rPr>
              <w:t>(0.35)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335"/>
              <w:spacing w:after="0"/>
              <w:rPr>
                <w:sz w:val="20"/>
                <w:szCs w:val="20"/>
                <w:color w:val="auto"/>
              </w:rPr>
            </w:pPr>
            <w:r>
              <w:rPr>
                <w:rFonts w:ascii="Arial" w:cs="Arial" w:eastAsia="Arial" w:hAnsi="Arial"/>
                <w:sz w:val="17"/>
                <w:szCs w:val="17"/>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(0.23)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w w:val="89"/>
              </w:rPr>
              <w:t>68,290,570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w w:val="89"/>
              </w:rPr>
              <w:t>74,593,709</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w w:val="89"/>
              </w:rPr>
              <w:t>78,316,794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95"/>
              <w:spacing w:after="0"/>
              <w:rPr>
                <w:sz w:val="20"/>
                <w:szCs w:val="20"/>
                <w:color w:val="auto"/>
              </w:rPr>
            </w:pPr>
            <w:r>
              <w:rPr>
                <w:rFonts w:ascii="Arial" w:cs="Arial" w:eastAsia="Arial" w:hAnsi="Arial"/>
                <w:sz w:val="17"/>
                <w:szCs w:val="17"/>
                <w:color w:val="auto"/>
                <w:w w:val="86"/>
              </w:rPr>
              <w:t>76,206,900</w:t>
            </w:r>
          </w:p>
        </w:tc>
        <w:tc>
          <w:tcPr>
            <w:tcW w:w="10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w w:val="86"/>
              </w:rPr>
              <w:t>83,112,132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8"/>
          <w:szCs w:val="18"/>
          <w:color w:val="auto"/>
        </w:rPr>
        <w:t>Includes stock-based compensation expense as follows: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9"/>
            <w:vMerge w:val="restart"/>
          </w:tcPr>
          <w:p>
            <w:pPr>
              <w:spacing w:after="0"/>
              <w:rPr>
                <w:sz w:val="20"/>
                <w:szCs w:val="20"/>
                <w:color w:val="auto"/>
              </w:rPr>
            </w:pPr>
            <w:r>
              <w:rPr>
                <w:rFonts w:ascii="Arial" w:cs="Arial" w:eastAsia="Arial" w:hAnsi="Arial"/>
                <w:sz w:val="14"/>
                <w:szCs w:val="14"/>
                <w:b w:val="1"/>
                <w:bCs w:val="1"/>
                <w:color w:val="auto"/>
                <w:w w:val="92"/>
              </w:rPr>
              <w:t>Fiscal Year Ended January 31,</w:t>
            </w:r>
          </w:p>
        </w:tc>
        <w:tc>
          <w:tcPr>
            <w:tcW w:w="58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9"/>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Ended July 31,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 of professional services revenues</w:t>
            </w:r>
          </w:p>
        </w:tc>
        <w:tc>
          <w:tcPr>
            <w:tcW w:w="10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1,128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1,244</w:t>
            </w:r>
          </w:p>
        </w:tc>
        <w:tc>
          <w:tcPr>
            <w:tcW w:w="12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1,240</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1,078</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3"/>
              </w:rPr>
              <w:t>1,260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1,070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1,056</w:t>
            </w:r>
          </w:p>
        </w:tc>
        <w:tc>
          <w:tcPr>
            <w:tcW w:w="12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1,245</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3"/>
              </w:rPr>
              <w:t>1,723</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4"/>
              </w:rPr>
              <w:t>1,623</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3,826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4,095</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5,745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3,601</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14,320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As of January 31,</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Six Months Ended July 31,</w:t>
            </w:r>
          </w:p>
        </w:tc>
        <w:tc>
          <w:tcPr>
            <w:tcW w:w="0" w:type="dxa"/>
            <w:vAlign w:val="bottom"/>
          </w:tcPr>
          <w:p>
            <w:pPr>
              <w:spacing w:after="0"/>
              <w:rPr>
                <w:sz w:val="1"/>
                <w:szCs w:val="1"/>
                <w:color w:val="auto"/>
              </w:rPr>
            </w:pPr>
          </w:p>
        </w:tc>
      </w:tr>
      <w:tr>
        <w:trPr>
          <w:trHeight w:val="136"/>
        </w:trPr>
        <w:tc>
          <w:tcPr>
            <w:tcW w:w="4500" w:type="dxa"/>
            <w:vAlign w:val="bottom"/>
            <w:vMerge w:val="continue"/>
          </w:tcPr>
          <w:p>
            <w:pPr>
              <w:spacing w:after="0"/>
              <w:rPr>
                <w:sz w:val="11"/>
                <w:szCs w:val="11"/>
                <w:color w:val="auto"/>
              </w:rPr>
            </w:pPr>
          </w:p>
        </w:tc>
        <w:tc>
          <w:tcPr>
            <w:tcW w:w="680" w:type="dxa"/>
            <w:vAlign w:val="bottom"/>
            <w:tcBorders>
              <w:top w:val="single" w:sz="8" w:color="auto"/>
            </w:tcBorders>
          </w:tcPr>
          <w:p>
            <w:pPr>
              <w:jc w:val="right"/>
              <w:ind w:right="113"/>
              <w:spacing w:after="0" w:line="13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150"/>
              <w:spacing w:after="0" w:line="13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130"/>
              <w:spacing w:after="0" w:line="13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top w:val="single" w:sz="8" w:color="auto"/>
            </w:tcBorders>
          </w:tcPr>
          <w:p>
            <w:pPr>
              <w:jc w:val="right"/>
              <w:ind w:right="168"/>
              <w:spacing w:after="0" w:line="135" w:lineRule="exact"/>
              <w:rPr>
                <w:sz w:val="20"/>
                <w:szCs w:val="20"/>
                <w:color w:val="auto"/>
              </w:rPr>
            </w:pPr>
            <w:r>
              <w:rPr>
                <w:rFonts w:ascii="Arial" w:cs="Arial" w:eastAsia="Arial" w:hAnsi="Arial"/>
                <w:sz w:val="14"/>
                <w:szCs w:val="14"/>
                <w:b w:val="1"/>
                <w:bCs w:val="1"/>
                <w:color w:val="auto"/>
                <w:w w:val="76"/>
              </w:rPr>
              <w:t>2019</w:t>
            </w:r>
          </w:p>
        </w:tc>
        <w:tc>
          <w:tcPr>
            <w:tcW w:w="3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$ 80,676</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74,347</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91,184</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35,282</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$ 388,191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112,967</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119,966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250,151</w:t>
            </w:r>
          </w:p>
        </w:tc>
        <w:tc>
          <w:tcPr>
            <w:tcW w:w="1420" w:type="dxa"/>
            <w:vAlign w:val="bottom"/>
            <w:gridSpan w:val="4"/>
          </w:tcPr>
          <w:p>
            <w:pPr>
              <w:jc w:val="right"/>
              <w:ind w:right="360"/>
              <w:spacing w:after="0"/>
              <w:rPr>
                <w:sz w:val="20"/>
                <w:szCs w:val="20"/>
                <w:color w:val="auto"/>
              </w:rPr>
            </w:pPr>
            <w:r>
              <w:rPr>
                <w:rFonts w:ascii="Arial" w:cs="Arial" w:eastAsia="Arial" w:hAnsi="Arial"/>
                <w:sz w:val="18"/>
                <w:szCs w:val="18"/>
                <w:color w:val="auto"/>
              </w:rPr>
              <w:t>158,325</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533,799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34,953</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53,930</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78,522</w:t>
            </w:r>
          </w:p>
        </w:tc>
        <w:tc>
          <w:tcPr>
            <w:tcW w:w="14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64,389</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101,925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Accumulated deficit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(82,446)</w:t>
            </w: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(104,752)</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(120,924)</w:t>
            </w:r>
          </w:p>
        </w:tc>
        <w:tc>
          <w:tcPr>
            <w:tcW w:w="1420" w:type="dxa"/>
            <w:vAlign w:val="bottom"/>
            <w:gridSpan w:val="4"/>
          </w:tcPr>
          <w:p>
            <w:pPr>
              <w:jc w:val="right"/>
              <w:ind w:right="300"/>
              <w:spacing w:after="0"/>
              <w:rPr>
                <w:sz w:val="20"/>
                <w:szCs w:val="20"/>
                <w:color w:val="auto"/>
              </w:rPr>
            </w:pPr>
            <w:r>
              <w:rPr>
                <w:rFonts w:ascii="Arial" w:cs="Arial" w:eastAsia="Arial" w:hAnsi="Arial"/>
                <w:sz w:val="18"/>
                <w:szCs w:val="18"/>
                <w:color w:val="auto"/>
              </w:rPr>
              <w:t>(105,251)</w:t>
            </w: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(140,072)</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liabilities, redeemable non-controlling interest</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stockholders’ equity</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112,967</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119,966</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250,151</w:t>
            </w:r>
          </w:p>
        </w:tc>
        <w:tc>
          <w:tcPr>
            <w:tcW w:w="14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158,325</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533,799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61"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78" w:lineRule="exact"/>
        <w:rPr>
          <w:sz w:val="20"/>
          <w:szCs w:val="20"/>
          <w:color w:val="auto"/>
        </w:rPr>
      </w:pPr>
    </w:p>
    <w:p>
      <w:pPr>
        <w:ind w:left="120" w:right="260" w:firstLine="881"/>
        <w:spacing w:after="0" w:line="257" w:lineRule="auto"/>
        <w:rPr>
          <w:sz w:val="20"/>
          <w:szCs w:val="20"/>
          <w:color w:val="auto"/>
        </w:rPr>
      </w:pPr>
      <w:r>
        <w:rPr>
          <w:rFonts w:ascii="Arial" w:cs="Arial" w:eastAsia="Arial" w:hAnsi="Arial"/>
          <w:sz w:val="18"/>
          <w:szCs w:val="18"/>
          <w:i w:val="1"/>
          <w:iCs w:val="1"/>
          <w:color w:val="auto"/>
        </w:rPr>
        <w:t xml:space="preserve">Non-GAAP Operating Loss. </w:t>
      </w:r>
      <w:r>
        <w:rPr>
          <w:rFonts w:ascii="Arial" w:cs="Arial" w:eastAsia="Arial" w:hAnsi="Arial"/>
          <w:sz w:val="18"/>
          <w:szCs w:val="18"/>
          <w:color w:val="auto"/>
        </w:rPr>
        <w:t>Non-GAAP Operating Loss is defined as loss from operations as reported in our unaudited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excluding the impact of amortization of intangible assets and stock-based compensation expense.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w:t>
      </w:r>
    </w:p>
    <w:p>
      <w:pPr>
        <w:spacing w:after="0" w:line="188"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This non-GAAP financial measure does not replace the presentation of our GAAP financial results and should only be used as a supplement to, not as a substitute for, our financial results presented in accordance with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7"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jc w:val="right"/>
              <w:ind w:right="81"/>
              <w:spacing w:after="0"/>
              <w:rPr>
                <w:sz w:val="20"/>
                <w:szCs w:val="20"/>
                <w:color w:val="auto"/>
              </w:rPr>
            </w:pPr>
            <w:r>
              <w:rPr>
                <w:rFonts w:ascii="Arial" w:cs="Arial" w:eastAsia="Arial" w:hAnsi="Arial"/>
                <w:sz w:val="14"/>
                <w:szCs w:val="14"/>
                <w:b w:val="1"/>
                <w:bCs w:val="1"/>
                <w:color w:val="auto"/>
              </w:rPr>
              <w:t>Fiscal Year Ended January 31,</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w w:val="95"/>
              </w:rPr>
              <w:t>Six Months Ended July 31,</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vMerge w:val="continue"/>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Loss from Operations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(18,775)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(23,216)</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(28,170)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(11,439)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(19,964)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1"/>
              <w:spacing w:after="0"/>
              <w:rPr>
                <w:sz w:val="20"/>
                <w:szCs w:val="20"/>
                <w:color w:val="auto"/>
              </w:rPr>
            </w:pPr>
            <w:r>
              <w:rPr>
                <w:rFonts w:ascii="Arial" w:cs="Arial" w:eastAsia="Arial" w:hAnsi="Arial"/>
                <w:sz w:val="18"/>
                <w:szCs w:val="18"/>
                <w:color w:val="auto"/>
              </w:rPr>
              <w:t>3,826</w:t>
            </w:r>
          </w:p>
        </w:tc>
        <w:tc>
          <w:tcPr>
            <w:tcW w:w="160" w:type="dxa"/>
            <w:vAlign w:val="bottom"/>
          </w:tcPr>
          <w:p>
            <w:pPr>
              <w:spacing w:after="0"/>
              <w:rPr>
                <w:sz w:val="18"/>
                <w:szCs w:val="18"/>
                <w:color w:val="auto"/>
              </w:rPr>
            </w:pPr>
          </w:p>
        </w:tc>
        <w:tc>
          <w:tcPr>
            <w:tcW w:w="1240" w:type="dxa"/>
            <w:vAlign w:val="bottom"/>
            <w:gridSpan w:val="2"/>
          </w:tcPr>
          <w:p>
            <w:pPr>
              <w:jc w:val="right"/>
              <w:ind w:right="541"/>
              <w:spacing w:after="0"/>
              <w:rPr>
                <w:sz w:val="20"/>
                <w:szCs w:val="20"/>
                <w:color w:val="auto"/>
              </w:rPr>
            </w:pPr>
            <w:r>
              <w:rPr>
                <w:rFonts w:ascii="Arial" w:cs="Arial" w:eastAsia="Arial" w:hAnsi="Arial"/>
                <w:sz w:val="18"/>
                <w:szCs w:val="18"/>
                <w:color w:val="auto"/>
              </w:rPr>
              <w:t>4,095</w:t>
            </w:r>
          </w:p>
        </w:tc>
        <w:tc>
          <w:tcPr>
            <w:tcW w:w="1320" w:type="dxa"/>
            <w:vAlign w:val="bottom"/>
            <w:gridSpan w:val="2"/>
          </w:tcPr>
          <w:p>
            <w:pPr>
              <w:jc w:val="right"/>
              <w:ind w:right="561"/>
              <w:spacing w:after="0"/>
              <w:rPr>
                <w:sz w:val="20"/>
                <w:szCs w:val="20"/>
                <w:color w:val="auto"/>
              </w:rPr>
            </w:pPr>
            <w:r>
              <w:rPr>
                <w:rFonts w:ascii="Arial" w:cs="Arial" w:eastAsia="Arial" w:hAnsi="Arial"/>
                <w:sz w:val="18"/>
                <w:szCs w:val="18"/>
                <w:color w:val="auto"/>
              </w:rPr>
              <w:t>5,745</w:t>
            </w:r>
          </w:p>
        </w:tc>
        <w:tc>
          <w:tcPr>
            <w:tcW w:w="100" w:type="dxa"/>
            <w:vAlign w:val="bottom"/>
          </w:tcPr>
          <w:p>
            <w:pPr>
              <w:spacing w:after="0"/>
              <w:rPr>
                <w:sz w:val="18"/>
                <w:szCs w:val="18"/>
                <w:color w:val="auto"/>
              </w:rPr>
            </w:pPr>
          </w:p>
        </w:tc>
        <w:tc>
          <w:tcPr>
            <w:tcW w:w="1180" w:type="dxa"/>
            <w:vAlign w:val="bottom"/>
            <w:gridSpan w:val="2"/>
          </w:tcPr>
          <w:p>
            <w:pPr>
              <w:jc w:val="right"/>
              <w:ind w:right="561"/>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14,320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3,826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4,095</w:t>
            </w:r>
          </w:p>
        </w:tc>
        <w:tc>
          <w:tcPr>
            <w:tcW w:w="132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7,493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15,912</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Non-GAAP Operating Loss</w:t>
            </w:r>
          </w:p>
        </w:tc>
        <w:tc>
          <w:tcPr>
            <w:tcW w:w="9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(14,949</w:t>
            </w:r>
          </w:p>
        </w:tc>
        <w:tc>
          <w:tcPr>
            <w:tcW w:w="620" w:type="dxa"/>
            <w:vAlign w:val="bottom"/>
          </w:tcPr>
          <w:p>
            <w:pPr>
              <w:jc w:val="right"/>
              <w:ind w:right="4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(19,121</w:t>
            </w:r>
          </w:p>
        </w:tc>
        <w:tc>
          <w:tcPr>
            <w:tcW w:w="620" w:type="dxa"/>
            <w:vAlign w:val="bottom"/>
          </w:tcPr>
          <w:p>
            <w:pPr>
              <w:jc w:val="right"/>
              <w:ind w:right="48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(20,677</w:t>
            </w:r>
          </w:p>
        </w:tc>
        <w:tc>
          <w:tcPr>
            <w:tcW w:w="640" w:type="dxa"/>
            <w:vAlign w:val="bottom"/>
          </w:tcPr>
          <w:p>
            <w:pPr>
              <w:jc w:val="right"/>
              <w:ind w:right="5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(7,661</w:t>
            </w:r>
          </w:p>
        </w:tc>
        <w:tc>
          <w:tcPr>
            <w:tcW w:w="640" w:type="dxa"/>
            <w:vAlign w:val="bottom"/>
          </w:tcPr>
          <w:p>
            <w:pPr>
              <w:jc w:val="right"/>
              <w:ind w:right="5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consolidated financial statements and related notes and other financial information included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 titled “Risk Factors.” Our historical results are not necessarily indicative of the results that may be expected for any period in the future. Our fiscal year ends on January 31 of each year and references in this prospectus to a fiscal year mean the year in which that fiscal year ends. References in this prospectus to “fiscal 2018,” “fiscal 2019,” and “fiscal 2020” refer to the fiscal year ended January 31, 2018, January 31, 2019 and January 31, 2020, respectively.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6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left="120" w:right="180" w:firstLine="881"/>
        <w:spacing w:after="0" w:line="290" w:lineRule="auto"/>
        <w:rPr>
          <w:sz w:val="20"/>
          <w:szCs w:val="20"/>
          <w:color w:val="auto"/>
        </w:rPr>
      </w:pPr>
      <w:r>
        <w:rPr>
          <w:rFonts w:ascii="Arial" w:cs="Arial" w:eastAsia="Arial" w:hAnsi="Arial"/>
          <w:sz w:val="16"/>
          <w:szCs w:val="16"/>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nIQ. nIQ helps our customers improve operational and financial performance by using AI/ML to increase efficiency through automation and analytics to gain greater insights into their operations and client interactions.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 original focus on commercial and small business loan origination to retail loan origination, client onboarding, deposit account opening and, most recently, analytics and AI/ML applications, has enhanced our ability to increase adoption of our solution by our customers. For fiscal 2020, we had a subscription revenue retention rate of 147%. See “—Factors Affecting Our Operating Results—Subscription Revenue Retention Rate” for additional information on subscription revenue retention rates.</w:t>
      </w:r>
    </w:p>
    <w:p>
      <w:pPr>
        <w:spacing w:after="0" w:line="177"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July 31, 2020, we had 140 sales and sales support personnel in the United States, and 53 sales and support personnel in offices outside the United States.</w:t>
      </w:r>
    </w:p>
    <w:p>
      <w:pPr>
        <w:spacing w:after="0" w:line="192"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To help customers go live with our solution and achieve success, we offer professional services including configuration and implementation, training and advisory services. For larger financial institutions, we generally work with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in the future. As a result, we expect the mix of our total revenues to become more heavily weighted toward subscription revenues.</w:t>
      </w:r>
    </w:p>
    <w:p>
      <w:pPr>
        <w:spacing w:after="0" w:line="161"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newly public company.</w:t>
      </w:r>
    </w:p>
    <w:p>
      <w:pPr>
        <w:spacing w:after="0" w:line="192"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Our total revenues were $138.2 million, $91.5 million, and $58.1 million for fiscal 2020, 2019, and 2018, respectively, representing a 54.2% compound annual growth rate. Our subscription revenues in fiscal 2020 were $103.3 million or 74.7% of total revenues, up from $64.5 million or 70.4% of total revenues in fiscal 2019 and $38.0 million or 65.4% of total revenues in fiscal 2018, representing a 64.7% compound annual growth rate. Due to our continuing investment in growth, we recorded net losses attributable to nCino in fiscal 2020, 2019 and 2018 of $27.6 million, $22.3 million and $18.6 million, respectively. For the six months ended July 31, 2020 and 2019, our total revenues were $93.5 million and $61.8 million, respectively, representing a 51.2% increase, and our subscription revenues were $74.2 million and $44.1 million, respectively, representing a 68.1% increase. We had net losses attributable to nCino of $19.4 million and $11.9 million for the six months ended July 31, 2020 and 2019, respectively.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Our registration statement on Form S-1 related to our IPO was declared effective on July 13, 2020 and our common stock began trading on the Nasdaq Global Select Market on July 14, 2020. Our IPO was completed on July 16, 2020, in which we sold 9,269,000 shares of common stock at price to the public of $31.00 per share (including shares subject to the exercise of the underwriters’ over-allotment option).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b w:val="1"/>
          <w:bCs w:val="1"/>
          <w:i w:val="1"/>
          <w:iCs w:val="1"/>
          <w:color w:val="auto"/>
        </w:rPr>
        <w:t>Market Adoption of Our Solution</w:t>
      </w:r>
      <w:r>
        <w:rPr>
          <w:rFonts w:ascii="Arial" w:cs="Arial" w:eastAsia="Arial" w:hAnsi="Arial"/>
          <w:sz w:val="16"/>
          <w:szCs w:val="16"/>
          <w:color w:val="auto"/>
        </w:rPr>
        <w:t>. Our future growth depends on our ability to expand our reach to new financial institution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 internally developed software with the nCino Bank Operating System. In addition, growing our customer base will require us to increasingly penetrate markets outside the United States, which accounted for 9.6% of our total revenues for the six months ended July 31, 2020.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your investment.</w:t>
      </w:r>
    </w:p>
    <w:p>
      <w:pPr>
        <w:spacing w:after="0" w:line="172"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b w:val="1"/>
          <w:bCs w:val="1"/>
          <w:i w:val="1"/>
          <w:iCs w:val="1"/>
          <w:color w:val="auto"/>
        </w:rPr>
        <w:t xml:space="preserve">Mix of Subscription and Professional Services Revenues. </w:t>
      </w:r>
      <w:r>
        <w:rPr>
          <w:rFonts w:ascii="Arial" w:cs="Arial" w:eastAsia="Arial" w:hAnsi="Arial"/>
          <w:sz w:val="16"/>
          <w:szCs w:val="16"/>
          <w:color w:val="auto"/>
        </w:rPr>
        <w:t>The initial deployment of the nCino Bank Operating System by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a period of implementation and configuration services that can range from as little as three months for community banks to over 18 months for global financial institutions. As a result,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 as our overall business grows.</w:t>
      </w:r>
    </w:p>
    <w:p>
      <w:pPr>
        <w:spacing w:after="0" w:line="16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b w:val="1"/>
          <w:bCs w:val="1"/>
          <w:i w:val="1"/>
          <w:iCs w:val="1"/>
          <w:color w:val="auto"/>
        </w:rPr>
        <w:t>Subscription Revenue Retention Rate</w:t>
      </w:r>
      <w:r>
        <w:rPr>
          <w:rFonts w:ascii="Arial" w:cs="Arial" w:eastAsia="Arial" w:hAnsi="Arial"/>
          <w:sz w:val="18"/>
          <w:szCs w:val="18"/>
          <w:color w:val="auto"/>
        </w:rPr>
        <w:t>. We believe that our ability to retain and grow subscription revenues from our existing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time strengthens the stability and predictability of our revenue base and is reflective of both the adoption curve of customers and the value we deliver to them. We assess our performance in this area using a metric we refer to as subscription revenue retention rate. We calculate our subscription revenue retention rate as total subscription revenues in a fiscal year from customers who purchased any of our solutions as of January 31 of the prior fiscal year, expressed as a percentage of total subscription revenues for the prior fiscal year. Our subscription revenue retention rate provides insight into the impact on current year subscription revenues of:</w:t>
      </w:r>
    </w:p>
    <w:p>
      <w:pPr>
        <w:spacing w:after="0" w:line="219" w:lineRule="exact"/>
        <w:rPr>
          <w:sz w:val="20"/>
          <w:szCs w:val="20"/>
          <w:color w:val="auto"/>
        </w:rPr>
      </w:pPr>
    </w:p>
    <w:p>
      <w:pPr>
        <w:ind w:left="1420" w:right="12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and timing of new customers and phased activation of seats purchased by them in prior years, which activation schedules can span several fiscal years for larger contracts;</w:t>
      </w:r>
    </w:p>
    <w:p>
      <w:pPr>
        <w:spacing w:after="0" w:line="197"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adoption of our solutions by our existing customers during the current year, excluding any revenues derived from businesses acquired during such year;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attrition.</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For fiscal 2020, 2019 and 2018, we had subscription revenue retention rates of 147%, 163% and 188%, respectively. The most significant driver of changes in our subscription revenue retention rate each year has historically been the number of new customers in prior years and the associated phased activation schedules for such customers. As our installed base and associated subscription revenues have expanded in recent years, we have seen moderation of our subscription revenue retention rate, and we expect further moderation to the extent we continue to experience rapid growth. In addition, because larger financial institutions tend to make more sizable purchases with longer activation schedules, we expect variability in our subscription revenue retention rates based on the timing and extent of our continued penetration of this portion of our market. Our use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subscription revenue retention rate has limitations as an analytical tool, and investors should not consider it in isolation. Other companies in our or adjacent markets may calculate subscription revenue retention rates or similar metrics differently, which reduces its usefulness as a comparative measure.</w:t>
      </w:r>
    </w:p>
    <w:p>
      <w:pPr>
        <w:spacing w:after="0" w:line="184"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b w:val="1"/>
          <w:bCs w:val="1"/>
          <w:i w:val="1"/>
          <w:iCs w:val="1"/>
          <w:color w:val="auto"/>
        </w:rPr>
        <w:t>Long-term ACV Expansion</w:t>
      </w:r>
      <w:r>
        <w:rPr>
          <w:rFonts w:ascii="Arial" w:cs="Arial" w:eastAsia="Arial" w:hAnsi="Arial"/>
          <w:sz w:val="16"/>
          <w:szCs w:val="16"/>
          <w:color w:val="auto"/>
        </w:rPr>
        <w:t>. A key element of our growth strategy is to expand our deployed footprint with a customer after initial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Our customers typically purchase our solution for a defined line of business or to support a specific use case and, once deployed, we seek to convince the customer to adopt our solution within and across additional lines of business. To date, we have been successful in executing our land and expand strategy as a result of our solution’s ability to streamline workflow, generate meaningful insights for operational improvement and help drive improved bottom line results. Due to our rapid growth, many of our customers have not yet come up for renewal, so our historical net retention rates may not be predictive of future results. If our customers do not continue to see the ability of our solution to generate return on investment relative to other available solutions or at all, net retention rates will suffer and our operating results will be adversely affected.</w:t>
      </w:r>
    </w:p>
    <w:p>
      <w:pPr>
        <w:spacing w:after="0" w:line="166"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believe our ACV-based net retention of customers over the long term illustrates our success in executing our land and expand strategy, as it demonstrates growing adoption by existing customers, including price increases but net of attrition. To measure net retention, we categorize customers by the year in which they first contracted for our solution, which we call an annual cohort. For each annual cohort, we measure the total ACV for our most recently completed fiscal year and divide it by the total ACV for such cohort at the end of the initial cohort year. We refer to the resulting quotient as “ACV-based net retention.” In any given period, ACV for a customer represents the annualized subscription fees from the fully activated subscription contracts in effect for such customers at the end of the applicable period.</w:t>
      </w:r>
    </w:p>
    <w:p>
      <w:pPr>
        <w:spacing w:after="0" w:line="178"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 graphic below illustrates our ACV-based net retention for customers initially signed since fiscal 2013. Each individual cohort is not necessarily predictive of other or future cohorts.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b w:val="1"/>
          <w:bCs w:val="1"/>
          <w:i w:val="1"/>
          <w:iCs w:val="1"/>
          <w:color w:val="auto"/>
        </w:rPr>
        <w:t>COVID-19 Effects on Demand for Our Solution</w:t>
      </w:r>
      <w:r>
        <w:rPr>
          <w:rFonts w:ascii="Arial" w:cs="Arial" w:eastAsia="Arial" w:hAnsi="Arial"/>
          <w:sz w:val="17"/>
          <w:szCs w:val="17"/>
          <w:color w:val="auto"/>
        </w:rPr>
        <w:t>. To help our customers service demand for Paycheck Protection Program (PPP)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 and have provided more than $50 billion in funding for their small business clients.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may have had the effect of pulling forward demand that might have otherwise materialized as new business later in the fiscal year and that, coupled with the disruptive effect of COVID-19 on the economy more generally, may have the effect of reducing new business later in fiscal 2021 and moderating revenue growth rates in fiscal 2022. In addition, our subscription revenue retention rates may be adversely affected upon the expiration of access and use rights to our PPP solution to the extent such rights are not re-purposed for other applications.</w:t>
      </w:r>
    </w:p>
    <w:p>
      <w:pPr>
        <w:spacing w:after="0" w:line="166"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b w:val="1"/>
          <w:bCs w:val="1"/>
          <w:i w:val="1"/>
          <w:iCs w:val="1"/>
          <w:color w:val="auto"/>
        </w:rPr>
        <w:t>Continued Investment in Innovation and Growth</w:t>
      </w:r>
      <w:r>
        <w:rPr>
          <w:rFonts w:ascii="Arial" w:cs="Arial" w:eastAsia="Arial" w:hAnsi="Arial"/>
          <w:sz w:val="16"/>
          <w:szCs w:val="16"/>
          <w:color w:val="auto"/>
        </w:rPr>
        <w:t>. We have made substantial investments in product development, sales and marketing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newly public company. As such, to capitalize on the market opportunity we see ahead of us, we expect to continue to optimize our operating plans for revenue growth, and as a result continue experiencing operating losses, for the foreseeable future.</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derive our revenues from subscription and professional services fees.</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the nCino Bank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maintenance and support services that we offer under non-cancellable multi-year contracts, which typically range from three to five years. Specifically, we offer:</w:t>
      </w:r>
    </w:p>
    <w:p>
      <w:pPr>
        <w:spacing w:after="0" w:line="211" w:lineRule="exact"/>
        <w:rPr>
          <w:sz w:val="20"/>
          <w:szCs w:val="20"/>
          <w:color w:val="auto"/>
        </w:rPr>
      </w:pPr>
    </w:p>
    <w:p>
      <w:pPr>
        <w:ind w:left="1420" w:right="28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97"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nIQ, first introduced in fiscal 2020, for which we generally charge based on the asset size of the customer or on a usage basis. Prior to our acquisitions of Visible Equity and FinSuite, they generally licensed their products under annual contracts that could be cancelled on 30-days’ notice. We will continue to support these customers under their legacy contracts until such contracts are renewed, cancelled or expire.</w:t>
      </w:r>
    </w:p>
    <w:p>
      <w:pPr>
        <w:spacing w:after="0" w:line="213"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charge as a percentage of the related subscription fees.</w:t>
      </w:r>
    </w:p>
    <w:p>
      <w:pPr>
        <w:spacing w:after="0" w:line="170"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24"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i w:val="1"/>
          <w:iCs w:val="1"/>
          <w:color w:val="auto"/>
        </w:rPr>
        <w:t>Professional Services Revenues</w:t>
      </w:r>
      <w:r>
        <w:rPr>
          <w:rFonts w:ascii="Arial" w:cs="Arial" w:eastAsia="Arial" w:hAnsi="Arial"/>
          <w:sz w:val="17"/>
          <w:szCs w:val="17"/>
          <w:color w:val="auto"/>
        </w:rPr>
        <w:t>. Professional services revenues consist of fees for implementation and configuration assistance, training and</w:t>
      </w:r>
      <w:r>
        <w:rPr>
          <w:rFonts w:ascii="Arial" w:cs="Arial" w:eastAsia="Arial" w:hAnsi="Arial"/>
          <w:sz w:val="17"/>
          <w:szCs w:val="17"/>
          <w:i w:val="1"/>
          <w:iCs w:val="1"/>
          <w:color w:val="auto"/>
        </w:rPr>
        <w:t xml:space="preserve"> </w:t>
      </w:r>
      <w:r>
        <w:rPr>
          <w:rFonts w:ascii="Arial" w:cs="Arial" w:eastAsia="Arial" w:hAnsi="Arial"/>
          <w:sz w:val="17"/>
          <w:szCs w:val="17"/>
          <w:color w:val="auto"/>
        </w:rPr>
        <w:t>advisory services. For enterprise and larger regional financial institutions, we generally work with SIs to provide the majority of implementation services, for which these SIs bill our 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i w:val="1"/>
          <w:iCs w:val="1"/>
          <w:color w:val="auto"/>
        </w:rPr>
        <w:t>Cost of Subscription Revenues</w:t>
      </w:r>
      <w:r>
        <w:rPr>
          <w:rFonts w:ascii="Arial" w:cs="Arial" w:eastAsia="Arial" w:hAnsi="Arial"/>
          <w:sz w:val="18"/>
          <w:szCs w:val="18"/>
          <w:color w:val="auto"/>
        </w:rPr>
        <w:t>. Cost of subscription revenues primarily consists of fees paid to Salesforce for access to the Salesforce</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9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Cost of Professional Services Revenues</w:t>
      </w:r>
      <w:r>
        <w:rPr>
          <w:rFonts w:ascii="Arial" w:cs="Arial" w:eastAsia="Arial" w:hAnsi="Arial"/>
          <w:sz w:val="17"/>
          <w:szCs w:val="17"/>
          <w:color w:val="auto"/>
        </w:rPr>
        <w:t>. Cost of professional services revenues consists primarily of personnel-related costs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b w:val="1"/>
          <w:bCs w:val="1"/>
          <w:i w:val="1"/>
          <w:iCs w:val="1"/>
          <w:color w:val="auto"/>
        </w:rPr>
        <w:t xml:space="preserve">Sales and Marketing. </w:t>
      </w:r>
      <w:r>
        <w:rPr>
          <w:rFonts w:ascii="Arial" w:cs="Arial" w:eastAsia="Arial" w:hAnsi="Arial"/>
          <w:sz w:val="17"/>
          <w:szCs w:val="17"/>
          <w:color w:val="auto"/>
        </w:rPr>
        <w:t>Sales and marketing expenses consist primarily of personnel costs of our sales and marketing employees,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salaries, 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4 years. Prior to fiscal 2020, these costs were expensed as incurred. Because of this change in accounting, sales and marketing expenses beginning in fiscal 2020 are not directly comparable to prior periods. Sales and marketing expenses also include outside consulting fees, marketing programs, including lead generation, costs of our annual user conference, advertising, trade shows, other event expenses, amortization of acquired customer relationships, and allocated overhead. We expect sales and marketing expenses will continue to increase as we expand our direct sales teams in the United States and internationally to address our market opportunity.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881"/>
        <w:spacing w:after="0" w:line="30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expenses consist primarily of salaries, benefits and stock-based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157"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expenses consist primarily of salaries, benefits and stock-based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We expect that general and administrative expenses will continue to increase as we scale our business and as we incur costs associated with being a new publicly-traded company, including legal, audit and consulting fees.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historically recorded stock-based compensation associated with stock options in cost of revenues and operating expenses as the related options vest. Beginning in the three and six months ended July 31, 2020, we have recorded stock-based compensation expenses associated with RSUs as cost of revenues and operating expenses as the liquidity-based vesting condition was satisfied upon the IPO. On the effective date of the IPO, we recognized an expense of $12.2 million for RSUs, representing the stock-based compensation associated with RSUs for which the time-based vesting condition had already been met. Going forward, stock-based compensation for both stock options and RSUs will be recognized as the time-based vesting conditions under such awards are met.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results of operations presented below should be reviewed in conjunction with the financial statements and notes included elsewhere in this prospectus. The following table presents our selected consolidated statement of operations data for fiscal 2018, 2019 and 2020 and six months ended July 31, 2019 and 2020 in both dollars and as a percentage of total revenues, except as noted.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8"/>
          </w:tcPr>
          <w:p>
            <w:pPr>
              <w:ind w:left="780"/>
              <w:spacing w:after="0"/>
              <w:rPr>
                <w:sz w:val="20"/>
                <w:szCs w:val="20"/>
                <w:color w:val="auto"/>
              </w:rPr>
            </w:pPr>
            <w:r>
              <w:rPr>
                <w:rFonts w:ascii="Arial" w:cs="Arial" w:eastAsia="Arial" w:hAnsi="Arial"/>
                <w:sz w:val="14"/>
                <w:szCs w:val="14"/>
                <w:b w:val="1"/>
                <w:bCs w:val="1"/>
                <w:color w:val="auto"/>
                <w:w w:val="95"/>
              </w:rPr>
              <w:t>Fiscal Year Ended January 31,</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8"/>
          </w:tcPr>
          <w:p>
            <w:pPr>
              <w:jc w:val="right"/>
              <w:ind w:right="34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42"/>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share and per share</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3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38,048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64,458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103,265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81"/>
              <w:spacing w:after="0"/>
              <w:rPr>
                <w:sz w:val="20"/>
                <w:szCs w:val="20"/>
                <w:color w:val="auto"/>
              </w:rPr>
            </w:pPr>
            <w:r>
              <w:rPr>
                <w:rFonts w:ascii="Arial" w:cs="Arial" w:eastAsia="Arial" w:hAnsi="Arial"/>
                <w:sz w:val="18"/>
                <w:szCs w:val="18"/>
                <w:color w:val="auto"/>
              </w:rPr>
              <w:t>44,142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74,182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27,076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34,915</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17,672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19,295</w:t>
            </w:r>
          </w:p>
        </w:tc>
        <w:tc>
          <w:tcPr>
            <w:tcW w:w="0" w:type="dxa"/>
            <w:vAlign w:val="bottom"/>
          </w:tcPr>
          <w:p>
            <w:pPr>
              <w:spacing w:after="0"/>
              <w:rPr>
                <w:sz w:val="1"/>
                <w:szCs w:val="1"/>
                <w:color w:val="auto"/>
              </w:rPr>
            </w:pPr>
          </w:p>
        </w:tc>
      </w:tr>
      <w:tr>
        <w:trPr>
          <w:trHeight w:val="223"/>
        </w:trPr>
        <w:tc>
          <w:tcPr>
            <w:tcW w:w="43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138,180</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61,814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Cost of subscription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12,581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19,995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31,062</w:t>
            </w: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Arial" w:cs="Arial" w:eastAsia="Arial" w:hAnsi="Arial"/>
                <w:sz w:val="18"/>
                <w:szCs w:val="18"/>
                <w:color w:val="auto"/>
              </w:rPr>
              <w:t>13,585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22,019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26,456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33,008</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15,223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30"/>
        </w:trPr>
        <w:tc>
          <w:tcPr>
            <w:tcW w:w="4360" w:type="dxa"/>
            <w:vAlign w:val="bottom"/>
          </w:tcPr>
          <w:p>
            <w:pPr>
              <w:ind w:left="72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28,808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41,453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45,083</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74,110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33,006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52,024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31,278</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44,440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18,468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27,852</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22,230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35,304</w:t>
            </w: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Arial" w:cs="Arial" w:eastAsia="Arial" w:hAnsi="Arial"/>
                <w:sz w:val="18"/>
                <w:szCs w:val="18"/>
                <w:color w:val="auto"/>
              </w:rPr>
              <w:t>15,638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26,257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14,791</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22,536</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10,339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17,879</w:t>
            </w:r>
          </w:p>
        </w:tc>
        <w:tc>
          <w:tcPr>
            <w:tcW w:w="0" w:type="dxa"/>
            <w:vAlign w:val="bottom"/>
          </w:tcPr>
          <w:p>
            <w:pPr>
              <w:spacing w:after="0"/>
              <w:rPr>
                <w:sz w:val="1"/>
                <w:szCs w:val="1"/>
                <w:color w:val="auto"/>
              </w:rPr>
            </w:pPr>
          </w:p>
        </w:tc>
      </w:tr>
      <w:tr>
        <w:trPr>
          <w:trHeight w:val="230"/>
        </w:trPr>
        <w:tc>
          <w:tcPr>
            <w:tcW w:w="43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44,445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71,988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(18,775)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(23,216)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(28,170)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(11,439)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(19,964)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1,193</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80" w:type="dxa"/>
            <w:vAlign w:val="bottom"/>
            <w:gridSpan w:val="3"/>
          </w:tcPr>
          <w:p>
            <w:pPr>
              <w:jc w:val="right"/>
              <w:ind w:right="121"/>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(18,539)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(22,112)</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(27,149)</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(11,583)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(18,589)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(22,306)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(27,735)</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(11,921)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(19,556)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Adjustment attributable to non-controlling interest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Net loss attributable to nCino, Inc.</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(18,589</w:t>
            </w:r>
          </w:p>
        </w:tc>
        <w:tc>
          <w:tcPr>
            <w:tcW w:w="46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(27,594</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(11,921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(19,415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nCino, Inc.: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(0.30)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21"/>
              <w:spacing w:after="0"/>
              <w:rPr>
                <w:sz w:val="20"/>
                <w:szCs w:val="20"/>
                <w:color w:val="auto"/>
              </w:rPr>
            </w:pPr>
            <w:r>
              <w:rPr>
                <w:rFonts w:ascii="Arial" w:cs="Arial" w:eastAsia="Arial" w:hAnsi="Arial"/>
                <w:sz w:val="18"/>
                <w:szCs w:val="18"/>
                <w:color w:val="auto"/>
              </w:rPr>
              <w:t>(0.16)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number of common shares outstanding: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68,290,570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74,593,709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78,316,794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Arial" w:cs="Arial" w:eastAsia="Arial" w:hAnsi="Arial"/>
                <w:sz w:val="18"/>
                <w:szCs w:val="18"/>
                <w:color w:val="auto"/>
                <w:w w:val="88"/>
              </w:rPr>
              <w:t>76,206,900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w w:val="86"/>
              </w:rPr>
              <w:t>83,112,132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ind w:left="7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20" w:type="dxa"/>
            <w:vAlign w:val="bottom"/>
            <w:gridSpan w:val="12"/>
            <w:vMerge w:val="restart"/>
          </w:tcPr>
          <w:p>
            <w:pPr>
              <w:jc w:val="right"/>
              <w:ind w:right="780"/>
              <w:spacing w:after="0"/>
              <w:rPr>
                <w:sz w:val="20"/>
                <w:szCs w:val="20"/>
                <w:color w:val="auto"/>
              </w:rPr>
            </w:pPr>
            <w:r>
              <w:rPr>
                <w:rFonts w:ascii="Arial" w:cs="Arial" w:eastAsia="Arial" w:hAnsi="Arial"/>
                <w:sz w:val="14"/>
                <w:szCs w:val="14"/>
                <w:b w:val="1"/>
                <w:bCs w:val="1"/>
                <w:color w:val="auto"/>
              </w:rPr>
              <w:t>Fiscal Year Ended January 31,</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20" w:type="dxa"/>
            <w:vAlign w:val="bottom"/>
            <w:gridSpan w:val="12"/>
            <w:vMerge w:val="continue"/>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July 31,</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5"/>
          </w:tcPr>
          <w:p>
            <w:pPr>
              <w:jc w:val="center"/>
              <w:ind w:left="272"/>
              <w:spacing w:after="0" w:line="142" w:lineRule="exact"/>
              <w:rPr>
                <w:sz w:val="20"/>
                <w:szCs w:val="20"/>
                <w:color w:val="auto"/>
              </w:rPr>
            </w:pPr>
            <w:r>
              <w:rPr>
                <w:rFonts w:ascii="Arial" w:cs="Arial" w:eastAsia="Arial" w:hAnsi="Arial"/>
                <w:sz w:val="14"/>
                <w:szCs w:val="14"/>
                <w:b w:val="1"/>
                <w:bCs w:val="1"/>
                <w:color w:val="auto"/>
                <w:w w:val="94"/>
              </w:rPr>
              <w:t>(unaudited)</w:t>
            </w: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Subscription revenues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65.4%</w:t>
            </w: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70.4%</w:t>
            </w:r>
          </w:p>
        </w:tc>
        <w:tc>
          <w:tcPr>
            <w:tcW w:w="1140" w:type="dxa"/>
            <w:vAlign w:val="bottom"/>
            <w:gridSpan w:val="5"/>
          </w:tcPr>
          <w:p>
            <w:pPr>
              <w:jc w:val="right"/>
              <w:ind w:right="60"/>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71.4%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vMerge w:val="continue"/>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Revenues (percentage shown in comparison to related</w:t>
            </w: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Cost of subscription revenues</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33.1</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140" w:type="dxa"/>
            <w:vAlign w:val="bottom"/>
            <w:gridSpan w:val="5"/>
          </w:tcPr>
          <w:p>
            <w:pPr>
              <w:jc w:val="right"/>
              <w:ind w:right="22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89.0</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94.5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30"/>
        </w:trPr>
        <w:tc>
          <w:tcPr>
            <w:tcW w:w="5320" w:type="dxa"/>
            <w:vAlign w:val="bottom"/>
            <w:gridSpan w:val="2"/>
          </w:tcPr>
          <w:p>
            <w:pPr>
              <w:ind w:left="720"/>
              <w:spacing w:after="0"/>
              <w:rPr>
                <w:sz w:val="20"/>
                <w:szCs w:val="20"/>
                <w:color w:val="auto"/>
              </w:rPr>
            </w:pPr>
            <w:r>
              <w:rPr>
                <w:rFonts w:ascii="Arial" w:cs="Arial" w:eastAsia="Arial" w:hAnsi="Arial"/>
                <w:sz w:val="18"/>
                <w:szCs w:val="18"/>
                <w:color w:val="auto"/>
              </w:rPr>
              <w:t>Total cost of revenues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62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47.6</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36.0</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28.5</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1140" w:type="dxa"/>
            <w:vAlign w:val="bottom"/>
            <w:gridSpan w:val="5"/>
          </w:tcPr>
          <w:p>
            <w:pPr>
              <w:jc w:val="right"/>
              <w:ind w:right="22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15.4</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53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62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from operations</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(32.3)</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3"/>
              </w:rPr>
              <w:t>(18.5)</w:t>
            </w: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ind w:right="19"/>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before income tax expense</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(31.9)</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3"/>
              </w:rPr>
              <w:t>(18.8)</w:t>
            </w: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w:t>
            </w: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w w:val="95"/>
              </w:rPr>
              <w:t>(19.3)%</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Six Months ended July 31, 2020 and 2019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 in thousands)</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7"/>
              </w:rPr>
              <w:t>Six Months Ended July 31,</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980" w:type="dxa"/>
            <w:vAlign w:val="bottom"/>
            <w:gridSpan w:val="4"/>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$44,142</w:t>
            </w:r>
          </w:p>
        </w:tc>
        <w:tc>
          <w:tcPr>
            <w:tcW w:w="1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$74,182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79.4%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17,672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19,295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20.6</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52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61,814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4"/>
              </w:rPr>
              <w:t>100.0%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93,477</w:t>
            </w:r>
          </w:p>
        </w:tc>
        <w:tc>
          <w:tcPr>
            <w:tcW w:w="420" w:type="dxa"/>
            <w:vAlign w:val="bottom"/>
            <w:gridSpan w:val="2"/>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100.0%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Subscription revenues increased $30.0 million for the six months ended July 31, 2020 compared to the six months ended July 31, 2019, primarily due to new customer additions, including customers added as a result of our acquisitions of Visible Equity and FinSuite, as well as expansion from existing customers within and across lines of business and price increases. Of the increase, 71.6% was attributable to increased revenues from existing customers as additional seats were activated in accordance with contractual terms and customers expanded their adoption of our solution, 16.1% was attributable to revenues from Visible Equity and FinSuite, and 12.3% was attributable to revenues from new nCino Bank Operating System customers. Subscription revenues were 79.4% of total revenues for the six months ended July 31, 2020 compared to 71.4% of total revenues for the six months ended July 31, 2019, reflecting the growth in our installed base.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Professional services revenues increased $1.6 million for the six months ended July 31, 2020 compared to the six months ended July 31, 2019, primarily due to the addition of new customers as well as expanded adoption by existing customers within and across lines of business where implementation, configuration and training services were required.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Six Months Ended July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Cost of Revenues (percentage shown in comparison to related revenues):</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$13,585</w:t>
            </w:r>
          </w:p>
        </w:tc>
        <w:tc>
          <w:tcPr>
            <w:tcW w:w="34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30.8%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$22,019</w:t>
            </w:r>
          </w:p>
        </w:tc>
        <w:tc>
          <w:tcPr>
            <w:tcW w:w="3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86.1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28,808</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46.6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41,453</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33,006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53.4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52,024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Cost of subscription revenues increased $8.4 million for the six months ended July 31, 2020 compared to the six months ended July 31, 2019, generating a gross margin for subscription revenues of 70.3% compared to a gross margin of 69.2% for the six months ended July 31, 2019. Costs related to Salesforce user fees increased $5.8 million as we continued to add new customers and sold additional functionality to existing customers, and personnel costs increased $1.1 million as we added new employees. Stock-based compensation expense increased $0.2 million related to RSUs vesting upon the IPO. Amortization expense for acquired developed technology related to the acquisitions of Visible Equity and Finsuite increased $0.7 million due to amortization expense during the full period for the six months ended July 31, 2020. Other costs of subscription revenues increased $0.5 million due to data services purchased for resale. We expect the cost of subscription revenues will continue to increase in absolute dollars as the number of users of the nCino Bank Operating System grows.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Cost of professional services revenues increased $4.2 million for the six months ended July 31, 2020 compared to the six months ended July 31, 2019, generating a gross margin for professional services of (0.7)% compared to a gross margin of 13.9% for the six months ended July 31, 2019. Excluding the effect of additional stock-based compensation expense related to RSUs resulting from our IPO, gross margin for professional services for the six months ended July 31, 2020 was 9.7%. For the six months ended July 31, 2020, personnel costs increased $3.3 million for the professional services team compared to the prior year period due to increased headcount. Stock-based compensation expense increased $2.0 million related to RSUs vesting upon the IPO. Allocated overhead costs increased $0.3 million compared to the prior year period due to growth supporting our continued business expansion. These increases were partially offset by a $1.1 million decrease in reimbursable, and a $0.3 million decrease in non-reimbursable, travel and related expenses for the professional service organization due to COVID-19-related travel restrictions. The decrease in our professional services gross margin for the six months ended July 31, 2020 was due to the mix of SI or Company led implementations and additional stock-based compensation expense.</w:t>
      </w:r>
    </w:p>
    <w:p>
      <w:pPr>
        <w:spacing w:after="0" w:line="185"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Excluding the effect of IPO associated expenses related to RSUs, we expect the cost of professional services revenues to increase in absolute dollars in the near term as we add new customer subscriptions that require professional services. For the balance of fiscal 2021, we expect reduced professional services gross margins as utilization is adversely affected by travel restrictions and work-from-home restrictions resulting from COVID-19.</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Six Months Ended July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00" w:type="dxa"/>
            <w:vAlign w:val="bottom"/>
            <w:vMerge w:val="continue"/>
          </w:tcPr>
          <w:p>
            <w:pPr>
              <w:spacing w:after="0"/>
              <w:rPr>
                <w:sz w:val="12"/>
                <w:szCs w:val="12"/>
                <w:color w:val="auto"/>
              </w:rPr>
            </w:pPr>
          </w:p>
        </w:tc>
        <w:tc>
          <w:tcPr>
            <w:tcW w:w="960" w:type="dxa"/>
            <w:vAlign w:val="bottom"/>
            <w:gridSpan w:val="4"/>
          </w:tcPr>
          <w:p>
            <w:pPr>
              <w:jc w:val="right"/>
              <w:ind w:right="3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right"/>
              <w:ind w:right="41"/>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$ 18,468</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29.9%</w:t>
            </w:r>
          </w:p>
        </w:tc>
        <w:tc>
          <w:tcPr>
            <w:tcW w:w="1100" w:type="dxa"/>
            <w:vAlign w:val="bottom"/>
            <w:gridSpan w:val="3"/>
          </w:tcPr>
          <w:p>
            <w:pPr>
              <w:jc w:val="right"/>
              <w:ind w:right="221"/>
              <w:spacing w:after="0"/>
              <w:rPr>
                <w:sz w:val="20"/>
                <w:szCs w:val="20"/>
                <w:color w:val="auto"/>
              </w:rPr>
            </w:pPr>
            <w:r>
              <w:rPr>
                <w:rFonts w:ascii="Arial" w:cs="Arial" w:eastAsia="Arial" w:hAnsi="Arial"/>
                <w:sz w:val="18"/>
                <w:szCs w:val="18"/>
                <w:color w:val="auto"/>
              </w:rPr>
              <w:t>$ 27,852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15,638</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110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26,257</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10,339</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16.7</w:t>
            </w:r>
          </w:p>
        </w:tc>
        <w:tc>
          <w:tcPr>
            <w:tcW w:w="1100" w:type="dxa"/>
            <w:vAlign w:val="bottom"/>
            <w:gridSpan w:val="3"/>
          </w:tcPr>
          <w:p>
            <w:pPr>
              <w:jc w:val="right"/>
              <w:ind w:right="221"/>
              <w:spacing w:after="0"/>
              <w:rPr>
                <w:sz w:val="20"/>
                <w:szCs w:val="20"/>
                <w:color w:val="auto"/>
              </w:rPr>
            </w:pPr>
            <w:r>
              <w:rPr>
                <w:rFonts w:ascii="Arial" w:cs="Arial" w:eastAsia="Arial" w:hAnsi="Arial"/>
                <w:sz w:val="18"/>
                <w:szCs w:val="18"/>
                <w:color w:val="auto"/>
              </w:rPr>
              <w:t>17,879</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44,445</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71.9</w:t>
            </w:r>
          </w:p>
        </w:tc>
        <w:tc>
          <w:tcPr>
            <w:tcW w:w="110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71,988</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1080"/>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Arial" w:cs="Arial" w:eastAsia="Arial" w:hAnsi="Arial"/>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(11,439</w:t>
            </w:r>
          </w:p>
        </w:tc>
        <w:tc>
          <w:tcPr>
            <w:tcW w:w="12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(18.5)%</w:t>
            </w:r>
          </w:p>
        </w:tc>
        <w:tc>
          <w:tcPr>
            <w:tcW w:w="1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(19,964</w:t>
            </w:r>
          </w:p>
        </w:tc>
        <w:tc>
          <w:tcPr>
            <w:tcW w:w="300" w:type="dxa"/>
            <w:vAlign w:val="bottom"/>
            <w:vMerge w:val="continue"/>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Sales and marketing expenses increased $9.4 million for the six months ended July 31, 2020 compared to the six months ended July 31, 2019, primarily due to an increase of $6.4 million in personnel costs resulting from an increase in headcount on the sales and marketing teams. Stock-based compensation expense increased $3.1 million related to RSUs vesting upon the IPO. The increase in sales and marketing expenses also included a $0.8 million increase in allocated overhead costs and a $0.4 million increase in outside consulting fees due to growth supporting our continued business expansion. Amortization expense for acquired customer relationships related to the acquisition of Visible Equity increased $0.7 million due to amortization expense during the full period for the six months ended July 31, 2020. The increase in sales and marketing expenses for the six months ended July 31, 2020 was partially offset by a decrease of $0.4 million in marketing costs and a decrease of $1.6 million in sales-related travel costs due to COVID-19-related travel restrictions.</w:t>
      </w:r>
    </w:p>
    <w:p>
      <w:pPr>
        <w:spacing w:after="0" w:line="178" w:lineRule="exact"/>
        <w:rPr>
          <w:sz w:val="20"/>
          <w:szCs w:val="20"/>
          <w:color w:val="auto"/>
        </w:rPr>
      </w:pPr>
    </w:p>
    <w:p>
      <w:pPr>
        <w:ind w:left="120" w:right="40" w:firstLine="881"/>
        <w:spacing w:after="0" w:line="342" w:lineRule="auto"/>
        <w:rPr>
          <w:sz w:val="20"/>
          <w:szCs w:val="20"/>
          <w:color w:val="auto"/>
        </w:rPr>
      </w:pPr>
      <w:r>
        <w:rPr>
          <w:rFonts w:ascii="Arial" w:cs="Arial" w:eastAsia="Arial" w:hAnsi="Arial"/>
          <w:sz w:val="16"/>
          <w:szCs w:val="16"/>
          <w:color w:val="auto"/>
        </w:rPr>
        <w:t>Our sales and marketing headcount grew by 49 from July 31, 2019 to July 31, 2020. Excluding the effect of IPO associated expenses related to RSUs, we expect sales and marketing expenses to increase in absolute dollars as we invest in expanding our customer base and user adoption.</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Research and development expenses increased $10.6 million for the six months ended July 31, 2020 compared to the six months ended July 31, 2019, primarily due to an increase of $7.2 million in personnel costs resulting from continued growth in headcount and a $0.8 million increase in allocated overhead costs due to growth supporting our continued business expansion. Stock-based compensation expense increased $2.7 million related to RSUs vesting upon the IPO.</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research and development headcount grew by 108 from July 31, 2019 to July 31, 2020. Excluding the effect of IPO associated expenses related to RSUs, we expect research and development expenses to increase in absolute dollars due to higher headcount as we develop new applications and further enhance the nCino Bank Operating System.</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General and administrative expenses increased $7.5 million for the six months ended July 31, 2020 compared to the six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July 31, 2019, primarily due to stock-based compensation expense of $4.2 million related to RSUs vesting upon the IPO, partially offset by $1.2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stock-based compensation expense for the accelerated vesting of an executive for the six months ended July 31, 2019 that did not occur for the six</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months ended July 31, 2020. Personnel costs increased $2.0 million from increased headcount as we continued to scale our business. Third party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professional fees increased $1.0 million for the six months ended July 31, 2020 compared to the six months ended July 31, 2019, mostly attributable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costs related to the Company’s IPO. Allocated overhead and other general and administrative costs increased $1.7 million, which consisted primarily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bad debt expense, charitable contributions and insurance costs.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Our general and administrative headcount grew by 35 from July 31, 2019 to July 31, 2020. Excluding the effect of IPO associated expenses related to RSUs, we expect general and administrative expenses to increase in absolute dollars in the near term, primarily due to higher headcount to support our continued growth and additional expenses for our transition to, and continuing costs of, being a public company.</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Effects of COVID-19</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In addition, we shifted our conferences and other marketing events to virtual-only for the foreseeable future. We expect these restrictions to stay in effect during the third quarter of fiscal 2021 and could extend further into future quarters.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duration, severity and spread of the pandemic,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“—Factors Affecting Our Operating Results—COVID-19 Effects on Demand for Our Solutions” and “Risk Factors—Uncertain or weakened economic conditions, including as a result of the recent coronavirus outbreak, may adversely affect our industry, business and results of operations.”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Fiscal Years ended January 31, 2020 and 2019</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$64,458</w:t>
            </w:r>
          </w:p>
        </w:tc>
        <w:tc>
          <w:tcPr>
            <w:tcW w:w="4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$103,265</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91,534</w:t>
            </w:r>
          </w:p>
        </w:tc>
        <w:tc>
          <w:tcPr>
            <w:tcW w:w="4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138,180</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Subscription revenues increased $38.8 million for fiscal 2020 compared to fiscal 2019, primarily due to new customer additions, including customers added as a result of our acquisitions of Visible Equity and FinSuite, as well as expansion from existing customers within and across lines of business and price increases. Of the increase, 61.7% was attributable to increased revenues from existing customers as additional seats were activated in accordance with contractual terms and customers expanded their adoption of our solution, 15.4% was attributable to revenues from Visible Equity and FinSuite, and 22.9% was attributable to revenues from new nCino Bank Operating System customers. Subscription revenues were 74.7% of total revenues for fiscal 2020, compared to 70.4% of total revenues for fiscal 2019, reflecting the growth in our installed base.</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Professional services revenues increased $7.8 million for fiscal 2020 compared to fiscal 2019, primarily due to the addition of new customers, as well as expanded adoption by existing customers within and across lines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of business where implementation, configuration and training services were required. For fiscal 2020, $2.9 million of professional services revenues was reimbursable travel and expense related to professional services projects at customer locations compared to $2.5 million for fiscal 2019.</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Fiscal Year Ended January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Cost of Revenues (percentage shown in comparison to related revenues):</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$19,995</w:t>
            </w:r>
          </w:p>
        </w:tc>
        <w:tc>
          <w:tcPr>
            <w:tcW w:w="34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31.0%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$31,062</w:t>
            </w:r>
          </w:p>
        </w:tc>
        <w:tc>
          <w:tcPr>
            <w:tcW w:w="34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7"/>
              </w:rPr>
              <w:t>30.1%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97.7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94.5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1080"/>
              <w:spacing w:after="0"/>
              <w:rPr>
                <w:sz w:val="20"/>
                <w:szCs w:val="20"/>
                <w:color w:val="auto"/>
              </w:rPr>
            </w:pPr>
            <w:r>
              <w:rPr>
                <w:rFonts w:ascii="Arial" w:cs="Arial" w:eastAsia="Arial" w:hAnsi="Arial"/>
                <w:sz w:val="18"/>
                <w:szCs w:val="18"/>
                <w:color w:val="auto"/>
              </w:rPr>
              <w:t>Total cost of revenues</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46,451</w:t>
            </w:r>
          </w:p>
        </w:tc>
        <w:tc>
          <w:tcPr>
            <w:tcW w:w="3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1"/>
              </w:rPr>
              <w:t>50.7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64,070</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46.4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Gross profit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45,083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74,110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53.6%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Cost of subscription revenues increased $11.1 million for fiscal 2020 compared to fiscal 2019, generating a gross margin for subscription revenues of 69.9% compared to a gross margin of 69.0% for fiscal 2019. Costs related to Salesforce user fees increased $7.5 million as we continued to add new customers and sold additional functionality to existing customers, and personnel costs increased $1.9 million as we added new employees. Allocated overhead costs for fiscal 2020 increased $1.0 million compared to fiscal 2019 due to headcount growth in our global customer support organization. Other costs of subscription revenues increased $0.7 million due to third-party data integration and nIQ hosting expenses.</w:t>
      </w:r>
    </w:p>
    <w:p>
      <w:pPr>
        <w:spacing w:after="0" w:line="26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Cost of professional services revenues increased $6.6 million for fiscal 2020 compared to fiscal 2019, generating a gross margin for professional services of 5.5% compared to a gross margin of 2.3% for fiscal 2019. Personnel costs for fiscal 2020 increased $5.1 million for the professional services team compared to fiscal 2019 primarily due to increased headcount. Reimbursable travel and expenses related to professional services projects at customer locations for fiscal 2020 increased $0.4 million compared to fiscal 2019. Allocated overhead costs for fiscal 2020 increased $0.9 million and travel related expenses increased $0.3 million compared to fiscal 2019 due to growth supporting our continued business expansion. The increase in cost of professional services revenues was partially offset by a $0.1 million decrease in other services. The increase in our professional services gross margin in fiscal 2020 was primarily due to higher utilization and effective billing rates in our maturing international professional services practice.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501"/>
              <w:spacing w:after="0"/>
              <w:rPr>
                <w:sz w:val="20"/>
                <w:szCs w:val="20"/>
                <w:color w:val="auto"/>
              </w:rPr>
            </w:pPr>
            <w:r>
              <w:rPr>
                <w:rFonts w:ascii="Arial" w:cs="Arial" w:eastAsia="Arial" w:hAnsi="Arial"/>
                <w:sz w:val="14"/>
                <w:szCs w:val="14"/>
                <w:b w:val="1"/>
                <w:bCs w:val="1"/>
                <w:color w:val="auto"/>
                <w:w w:val="92"/>
              </w:rPr>
              <w:t>Fiscal Year Ended January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vMerge w:val="continue"/>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01"/>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$ 31,278</w:t>
            </w:r>
          </w:p>
        </w:tc>
        <w:tc>
          <w:tcPr>
            <w:tcW w:w="2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44,440</w:t>
            </w:r>
          </w:p>
        </w:tc>
        <w:tc>
          <w:tcPr>
            <w:tcW w:w="5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102,280</w:t>
            </w:r>
          </w:p>
        </w:tc>
        <w:tc>
          <w:tcPr>
            <w:tcW w:w="5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1260"/>
              <w:spacing w:after="0"/>
              <w:rPr>
                <w:sz w:val="20"/>
                <w:szCs w:val="20"/>
                <w:color w:val="auto"/>
              </w:rPr>
            </w:pPr>
            <w:r>
              <w:rPr>
                <w:rFonts w:ascii="Arial" w:cs="Arial" w:eastAsia="Arial" w:hAnsi="Arial"/>
                <w:sz w:val="18"/>
                <w:szCs w:val="18"/>
                <w:color w:val="auto"/>
              </w:rPr>
              <w:t>Loss from operations</w:t>
            </w: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(23,216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(25.4)%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(28,170</w:t>
            </w:r>
          </w:p>
        </w:tc>
        <w:tc>
          <w:tcPr>
            <w:tcW w:w="500" w:type="dxa"/>
            <w:vAlign w:val="bottom"/>
          </w:tcPr>
          <w:p>
            <w:pPr>
              <w:jc w:val="right"/>
              <w:ind w:right="421"/>
              <w:spacing w:after="0"/>
              <w:rPr>
                <w:sz w:val="20"/>
                <w:szCs w:val="20"/>
                <w:color w:val="auto"/>
              </w:rPr>
            </w:pPr>
            <w:r>
              <w:rPr>
                <w:rFonts w:ascii="Arial" w:cs="Arial" w:eastAsia="Arial" w:hAnsi="Arial"/>
                <w:sz w:val="8"/>
                <w:szCs w:val="8"/>
                <w:color w:val="auto"/>
                <w:w w:val="73"/>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60" w:type="dxa"/>
            <w:vAlign w:val="bottom"/>
            <w:vMerge w:val="restart"/>
          </w:tcPr>
          <w:p>
            <w:pPr>
              <w:jc w:val="right"/>
              <w:ind w:right="470"/>
              <w:spacing w:after="0"/>
              <w:rPr>
                <w:sz w:val="20"/>
                <w:szCs w:val="20"/>
                <w:color w:val="auto"/>
              </w:rPr>
            </w:pPr>
            <w:r>
              <w:rPr>
                <w:rFonts w:ascii="Arial" w:cs="Arial" w:eastAsia="Arial" w:hAnsi="Arial"/>
                <w:sz w:val="18"/>
                <w:szCs w:val="18"/>
                <w:color w:val="auto"/>
              </w:rPr>
              <w:t>58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Sales and marketing expenses increased $13.2 million for fiscal 2020 compared to fiscal 2019, primarily due to an increase of $8.4 million in personnel costs resulting from an increase in headcount on the sales and marketing teams and a $1.7 million increase in marketing costs, including direct costs of conference attendance and sponsorships, and a $1.0 million increase in sales-related travel costs. Our sales and marketing headcount grew from 140 at January 31, 2019 to 221 at January 31, 2020. The increase in sales and marketing expenses also included a $2.4 million increase in allocated overhead costs due to growth supporting our continued business expansion. The increase in sales and marketing expenses in fiscal 2020 was partially offset by a net reduction of $2.4 million in incremental costs incurred to obtain contracts, primarily consisting of sales commissions, as we began capitalizing and amortizing such expenses in fiscal 2020, and by a $0.3 million reduction in the use of third-party consultants.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Research and development expenses increased $13.1 million for fiscal 2020 compared to fiscal 2019, primarily due to an increase of $10.5 million in personnel costs, resulting from continued increases in headcount, both organically and from acquisitions, a $0.6 million increase in the use of third-party contractors as we continued to invest in the nCino Bank Operating System, a $0.2 million increase in travel and meeting expenses, and a $1.8 million increase in allocated overhead costs due to growth supporting our continued business expansion. Our research and development headcount grew from 153 at January 31, 2019 to 265 at January 31, 2020.</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General and administrative expenses increased $7.7 million for fiscal 2020 compared to fiscal 2019, primarily due to an increase of</w:t>
      </w:r>
    </w:p>
    <w:p>
      <w:pPr>
        <w:spacing w:after="0" w:line="35"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$4.4 million in personnel costs, due to increases in headcount as we continue to scale our business. Our general and administrative headcount grew from 63 at January 31, 2019 to 102 at January 31, 2020. Third party professional fees increased $3.7 million from fiscal 2019 to fiscal 2020, including</w:t>
      </w:r>
    </w:p>
    <w:p>
      <w:pPr>
        <w:spacing w:after="0" w:line="1"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color w:val="auto"/>
        </w:rPr>
        <w:t>$1.7 million of transaction-related costs incurred related to acquisitions and our IPO. Travel and meeting expenses increased $0.4 million due to headcount growth and strategic initiatives. Allocated overhead and other general and administrative costs decreased $0.8 million, which consisted primarily of a $1.5 million decrease in tax related fees and assessments primarily due to revisions in prior year sales and use tax estimates, partially offset by higher insurance and occupancy costs.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Fiscal Years Ended January 31, 2019 and 2018</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$38,048</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$64,458</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58,142</w:t>
            </w:r>
          </w:p>
        </w:tc>
        <w:tc>
          <w:tcPr>
            <w:tcW w:w="4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100.0%</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91,534</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Subscription revenues increased $26.4 million for fiscal 2019 compared to fiscal 2018, primarily due to new customer additions, as well as expansion from existing customers within and across lines of business and price increases. Of the increase, 78.1% was attributable to increased revenues from existing customers as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additional seats were activated in accordance with contractual terms and customers expanded their adoption of our solution, and 21.9% was attributable to revenues from new nCino Bank Operating System customers. Subscription revenues were 70.4% of total revenues for fiscal 2019, compared to 65.4% of total revenues for fiscal 2018, reflecting the growth in our installed base and increasing sales to larger financial institutions where SIs provide a substantial portion of professional services.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Professional services revenues increased $7.0 million for fiscal 2019 compared to fiscal 2018, primarily due to the addition of new customers, as well as expanded adoption by existing customers within and across lines of business where implementation, configuration and training services were required. For fiscal 2019, $2.5 million of professional services revenues was reimbursable travel and expense related to professional services projects at our customer locations compared to $1.8 million for fiscal 2018.</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Fiscal Year Ended January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60" w:type="dxa"/>
            <w:vAlign w:val="bottom"/>
          </w:tcPr>
          <w:p>
            <w:pPr>
              <w:spacing w:after="0"/>
              <w:rPr>
                <w:sz w:val="12"/>
                <w:szCs w:val="12"/>
                <w:color w:val="auto"/>
              </w:rPr>
            </w:pPr>
          </w:p>
        </w:tc>
        <w:tc>
          <w:tcPr>
            <w:tcW w:w="1360" w:type="dxa"/>
            <w:vAlign w:val="bottom"/>
            <w:gridSpan w:val="2"/>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11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$12,581</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33.1%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$19,995</w:t>
            </w:r>
          </w:p>
        </w:tc>
        <w:tc>
          <w:tcPr>
            <w:tcW w:w="36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7"/>
              </w:rPr>
              <w:t>31.0%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89.0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97.7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1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30,471</w:t>
            </w:r>
          </w:p>
        </w:tc>
        <w:tc>
          <w:tcPr>
            <w:tcW w:w="780" w:type="dxa"/>
            <w:vAlign w:val="bottom"/>
          </w:tcPr>
          <w:p>
            <w:pPr>
              <w:ind w:left="460"/>
              <w:spacing w:after="0"/>
              <w:rPr>
                <w:sz w:val="20"/>
                <w:szCs w:val="20"/>
                <w:color w:val="auto"/>
              </w:rPr>
            </w:pPr>
            <w:r>
              <w:rPr>
                <w:rFonts w:ascii="Arial" w:cs="Arial" w:eastAsia="Arial" w:hAnsi="Arial"/>
                <w:sz w:val="18"/>
                <w:szCs w:val="18"/>
                <w:color w:val="auto"/>
                <w:w w:val="85"/>
              </w:rPr>
              <w:t>52.4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46,451</w:t>
            </w:r>
          </w:p>
        </w:tc>
        <w:tc>
          <w:tcPr>
            <w:tcW w:w="36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50.7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27,671</w:t>
            </w:r>
          </w:p>
        </w:tc>
        <w:tc>
          <w:tcPr>
            <w:tcW w:w="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47.6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45,083</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49.3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Cost of subscription revenues increased $7.4 million for fiscal 2019 compared to fiscal 2018, generating a gross margin for subscription revenues of 69.0% compared to a gross margin of 66.9% for fiscal 2018. Costs related to Salesforce user fees increased $5.8 million as we continued to add new customers and sold additional functionality to existing customers, and personnel costs increased $1.2 million as we added new employees. Allocated overhead costs for fiscal 2019 increased $0.2 million and travel related expenses increased $0.1 million due to growth supporting our continued business expansion compared to fiscal 2018.</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Cost of professional services revenues increased $8.6 million for fiscal 2019 compared to fiscal 2018, generating a gross margin for professional services of 2.3% compared to a gross margin of 11.0% for fiscal 2018. Personnel costs for fiscal 2019 increased $6.9 million for the professional services team compared to fiscal 2018 primarily due to increased headcount. Reimbursable travel and expenses related to professional services projects at customer locations for fiscal 2019 increased $0.7 million compared to fiscal 2018. Allocated overhead costs for fiscal 2019 increased $1.0 million compared to fiscal 2018 due to growth supporting our continued business expansion. The decrease in our professional services gross margin in fiscal 2019 was primarily driven by investments in our international professional services operations as we expanded our international presence.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5"/>
              </w:rPr>
              <w:t>Fiscal Year Ended January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20" w:type="dxa"/>
            <w:vAlign w:val="bottom"/>
          </w:tcPr>
          <w:p>
            <w:pPr>
              <w:spacing w:after="0"/>
              <w:rPr>
                <w:sz w:val="12"/>
                <w:szCs w:val="12"/>
                <w:color w:val="auto"/>
              </w:rPr>
            </w:pPr>
          </w:p>
        </w:tc>
        <w:tc>
          <w:tcPr>
            <w:tcW w:w="1000" w:type="dxa"/>
            <w:vAlign w:val="bottom"/>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(as a percentage of total revenues):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$20,954</w:t>
            </w:r>
          </w:p>
        </w:tc>
        <w:tc>
          <w:tcPr>
            <w:tcW w:w="40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36.0%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$31,278</w:t>
            </w:r>
          </w:p>
        </w:tc>
        <w:tc>
          <w:tcPr>
            <w:tcW w:w="42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34.2%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28.5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8,933</w:t>
            </w:r>
          </w:p>
        </w:tc>
        <w:tc>
          <w:tcPr>
            <w:tcW w:w="40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15.4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42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16.2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46,446</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68,299</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74.7%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Sales and marketing expenses increased $10.3 million for fiscal 2019 compared to fiscal 2018, primarily due to an increase of $6.3 million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personnel costs resulting from an increase in headcount on the sales and marketing teams, a $1.7 million increase in sales-related travel costs,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$0.8 million increase in the use of third-party service providers to support our expanding sales and a $0.7 million increase in marketing costs, including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 costs of conference attendance and sponsorships. Our sales and marketing headcount grew from 110 at January 31, 2018 to 140 at January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2019. The increase in sales and marketing expenses also included a $0.8 million increase in allocated overhead costs due to growth supporting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continued business expansion.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Research and development expenses increased $5.7 million for fiscal 2019 compared to fiscal 2018, primarily due to an increase of $4.3 million in personnel costs, resulting from continued increases in headcount, a $0.5 million increase in the use of third-party contractors as we continued to invest in the nCino Bank Operating System, and a $0.9 million increase in allocated overhead costs due to growth supporting our continued business expansion. Our research and development headcount grew from 111 at January 31, 2018 to 153 at January 31, 2019.</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General and administrative expenses increased $5.9 million for fiscal 2019 compared to fiscal 2018, primarily due to an increase of $3.2 million in personnel costs, due to increases in headcount as we continue to scale our business, a $0.4 million increase in fees for professional services and a $0.1 million increase in travel and meeting expenses. Our general and administrative headcount grew from 45 at January 31, 2018 to 63 at January 31, 2019. Allocated overhead and other general and administrative costs increased $2.2 million, which consisted primarily of a $1.1 million increase in tax related fees and assessments, primarily due to an increase in estimated sales tax liability and an increase in insurance and occupancy costs.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ind w:left="120" w:right="200" w:firstLine="881"/>
        <w:spacing w:after="0" w:line="296" w:lineRule="auto"/>
        <w:rPr>
          <w:sz w:val="20"/>
          <w:szCs w:val="20"/>
          <w:color w:val="auto"/>
        </w:rPr>
      </w:pPr>
      <w:r>
        <w:rPr>
          <w:rFonts w:ascii="Arial" w:cs="Arial" w:eastAsia="Arial" w:hAnsi="Arial"/>
          <w:sz w:val="16"/>
          <w:szCs w:val="16"/>
          <w:color w:val="auto"/>
        </w:rPr>
        <w:t>The following table sets forth our unaudited quarterly statements of operations data for each of the periods presented. In management’s opinion, the data below has been prepared on the same basis as the audited financial statements included elsewhere in this prospectus and reflects all necessary adjustments, consisting only of normal recurring adjustments, necessary for a fair statement of this data. The results of historical periods are not necessarily indicative of the results to be expected for a full year or any future period. The following quarterly financial data should be read in conjunction with our audited financial statements and related notes included elsewhere in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April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July 31,</w:t>
            </w:r>
          </w:p>
        </w:tc>
        <w:tc>
          <w:tcPr>
            <w:tcW w:w="6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8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April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July 31,</w:t>
            </w:r>
          </w:p>
        </w:tc>
        <w:tc>
          <w:tcPr>
            <w:tcW w:w="8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4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140" w:type="dxa"/>
            <w:vAlign w:val="bottom"/>
          </w:tcPr>
          <w:p>
            <w:pPr>
              <w:spacing w:after="0"/>
              <w:rPr>
                <w:sz w:val="10"/>
                <w:szCs w:val="10"/>
                <w:color w:val="auto"/>
              </w:rPr>
            </w:pP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April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share and per share data)</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tcPr>
          <w:p>
            <w:pPr>
              <w:ind w:left="280"/>
              <w:spacing w:after="0" w:line="149" w:lineRule="exact"/>
              <w:rPr>
                <w:sz w:val="20"/>
                <w:szCs w:val="20"/>
                <w:color w:val="auto"/>
              </w:rPr>
            </w:pPr>
            <w:r>
              <w:rPr>
                <w:rFonts w:ascii="Arial" w:cs="Arial" w:eastAsia="Arial" w:hAnsi="Arial"/>
                <w:sz w:val="14"/>
                <w:szCs w:val="14"/>
                <w:color w:val="auto"/>
              </w:rPr>
              <w:t>Subscription revenues</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13,375</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15,901</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16,469</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18,713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21,032</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23,110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27,673</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31,450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34,831</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39,351</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Professional services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5,689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6,729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7,194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10,189</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7,054</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9,881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9,414</w:t>
            </w:r>
          </w:p>
        </w:tc>
        <w:tc>
          <w:tcPr>
            <w:tcW w:w="0" w:type="dxa"/>
            <w:vAlign w:val="bottom"/>
          </w:tcPr>
          <w:p>
            <w:pPr>
              <w:spacing w:after="0"/>
              <w:rPr>
                <w:sz w:val="1"/>
                <w:szCs w:val="1"/>
                <w:color w:val="auto"/>
              </w:rPr>
            </w:pPr>
          </w:p>
        </w:tc>
      </w:tr>
      <w:tr>
        <w:trPr>
          <w:trHeight w:val="156"/>
        </w:trPr>
        <w:tc>
          <w:tcPr>
            <w:tcW w:w="1860" w:type="dxa"/>
            <w:vAlign w:val="bottom"/>
          </w:tcPr>
          <w:p>
            <w:pPr>
              <w:ind w:left="580"/>
              <w:spacing w:after="0" w:line="155" w:lineRule="exact"/>
              <w:rPr>
                <w:sz w:val="20"/>
                <w:szCs w:val="20"/>
                <w:color w:val="auto"/>
              </w:rPr>
            </w:pPr>
            <w:r>
              <w:rPr>
                <w:rFonts w:ascii="Arial" w:cs="Arial" w:eastAsia="Arial" w:hAnsi="Arial"/>
                <w:sz w:val="14"/>
                <w:szCs w:val="14"/>
                <w:color w:val="auto"/>
              </w:rPr>
              <w:t>Total revenues</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19,064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22,630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23,663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26,177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29,836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31,978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37,862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38,504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44,712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48,765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80"/>
              <w:spacing w:after="0" w:line="130" w:lineRule="exact"/>
              <w:rPr>
                <w:sz w:val="20"/>
                <w:szCs w:val="20"/>
                <w:color w:val="auto"/>
              </w:rPr>
            </w:pPr>
            <w:r>
              <w:rPr>
                <w:rFonts w:ascii="Arial" w:cs="Arial" w:eastAsia="Arial" w:hAnsi="Arial"/>
                <w:sz w:val="14"/>
                <w:szCs w:val="14"/>
                <w:color w:val="auto"/>
              </w:rPr>
              <w:t>Cost of subscription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420"/>
              <w:spacing w:after="0"/>
              <w:rPr>
                <w:sz w:val="20"/>
                <w:szCs w:val="20"/>
                <w:color w:val="auto"/>
              </w:rPr>
            </w:pPr>
            <w:r>
              <w:rPr>
                <w:rFonts w:ascii="Arial" w:cs="Arial" w:eastAsia="Arial" w:hAnsi="Arial"/>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4,252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4,781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5,262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5,700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6,502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7,083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8,243</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9,234</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10,099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11,920</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Cost of professional</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services revenues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5,867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6,267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8,646</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9,139</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8,767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10,667</w:t>
            </w:r>
          </w:p>
        </w:tc>
        <w:tc>
          <w:tcPr>
            <w:tcW w:w="0" w:type="dxa"/>
            <w:vAlign w:val="bottom"/>
          </w:tcPr>
          <w:p>
            <w:pPr>
              <w:spacing w:after="0"/>
              <w:rPr>
                <w:sz w:val="1"/>
                <w:szCs w:val="1"/>
                <w:color w:val="auto"/>
              </w:rPr>
            </w:pPr>
          </w:p>
        </w:tc>
      </w:tr>
      <w:tr>
        <w:trPr>
          <w:trHeight w:val="137"/>
        </w:trPr>
        <w:tc>
          <w:tcPr>
            <w:tcW w:w="1860" w:type="dxa"/>
            <w:vAlign w:val="bottom"/>
          </w:tcPr>
          <w:p>
            <w:pPr>
              <w:ind w:left="580"/>
              <w:spacing w:after="0" w:line="137" w:lineRule="exact"/>
              <w:rPr>
                <w:sz w:val="20"/>
                <w:szCs w:val="20"/>
                <w:color w:val="auto"/>
              </w:rPr>
            </w:pPr>
            <w:r>
              <w:rPr>
                <w:rFonts w:ascii="Arial" w:cs="Arial" w:eastAsia="Arial" w:hAnsi="Arial"/>
                <w:sz w:val="14"/>
                <w:szCs w:val="14"/>
                <w:color w:val="auto"/>
              </w:rPr>
              <w:t>Total cost of</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720"/>
              <w:spacing w:after="0"/>
              <w:rPr>
                <w:sz w:val="20"/>
                <w:szCs w:val="20"/>
                <w:color w:val="auto"/>
              </w:rPr>
            </w:pPr>
            <w:r>
              <w:rPr>
                <w:rFonts w:ascii="Arial" w:cs="Arial" w:eastAsia="Arial" w:hAnsi="Arial"/>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11,048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13,074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14,038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14,770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16,889</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18,373</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18,866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22,587</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20,973</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20,131</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26,178</w:t>
            </w:r>
          </w:p>
        </w:tc>
        <w:tc>
          <w:tcPr>
            <w:tcW w:w="0" w:type="dxa"/>
            <w:vAlign w:val="bottom"/>
          </w:tcPr>
          <w:p>
            <w:pPr>
              <w:spacing w:after="0"/>
              <w:rPr>
                <w:sz w:val="1"/>
                <w:szCs w:val="1"/>
                <w:color w:val="auto"/>
              </w:rPr>
            </w:pPr>
          </w:p>
        </w:tc>
      </w:tr>
      <w:tr>
        <w:trPr>
          <w:trHeight w:val="155"/>
        </w:trPr>
        <w:tc>
          <w:tcPr>
            <w:tcW w:w="1860" w:type="dxa"/>
            <w:vAlign w:val="bottom"/>
          </w:tcPr>
          <w:p>
            <w:pPr>
              <w:spacing w:after="0" w:line="155" w:lineRule="exact"/>
              <w:rPr>
                <w:sz w:val="20"/>
                <w:szCs w:val="20"/>
                <w:color w:val="auto"/>
              </w:rPr>
            </w:pPr>
            <w:r>
              <w:rPr>
                <w:rFonts w:ascii="Arial" w:cs="Arial" w:eastAsia="Arial" w:hAnsi="Arial"/>
                <w:sz w:val="14"/>
                <w:szCs w:val="14"/>
                <w:color w:val="auto"/>
              </w:rPr>
              <w:t>Operating expenses:</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5,833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12,602</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13,370</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15,626</w:t>
            </w:r>
          </w:p>
        </w:tc>
        <w:tc>
          <w:tcPr>
            <w:tcW w:w="0" w:type="dxa"/>
            <w:vAlign w:val="bottom"/>
          </w:tcPr>
          <w:p>
            <w:pPr>
              <w:spacing w:after="0"/>
              <w:rPr>
                <w:sz w:val="1"/>
                <w:szCs w:val="1"/>
                <w:color w:val="auto"/>
              </w:rPr>
            </w:pPr>
          </w:p>
        </w:tc>
      </w:tr>
      <w:tr>
        <w:trPr>
          <w:trHeight w:val="130"/>
        </w:trPr>
        <w:tc>
          <w:tcPr>
            <w:tcW w:w="1860" w:type="dxa"/>
            <w:vAlign w:val="bottom"/>
          </w:tcPr>
          <w:p>
            <w:pPr>
              <w:ind w:left="280"/>
              <w:spacing w:after="0" w:line="130" w:lineRule="exact"/>
              <w:rPr>
                <w:sz w:val="20"/>
                <w:szCs w:val="20"/>
                <w:color w:val="auto"/>
              </w:rPr>
            </w:pPr>
            <w:r>
              <w:rPr>
                <w:rFonts w:ascii="Arial" w:cs="Arial" w:eastAsia="Arial" w:hAnsi="Arial"/>
                <w:sz w:val="14"/>
                <w:szCs w:val="14"/>
                <w:color w:val="auto"/>
              </w:rPr>
              <w:t>Research 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420"/>
              <w:spacing w:after="0"/>
              <w:rPr>
                <w:sz w:val="20"/>
                <w:szCs w:val="20"/>
                <w:color w:val="auto"/>
              </w:rPr>
            </w:pPr>
            <w:r>
              <w:rPr>
                <w:rFonts w:ascii="Arial" w:cs="Arial" w:eastAsia="Arial" w:hAnsi="Arial"/>
                <w:sz w:val="14"/>
                <w:szCs w:val="14"/>
                <w:color w:val="auto"/>
              </w:rPr>
              <w:t>development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4,595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4,941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5,823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6,871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7,366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8,272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9,534</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10,132</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10,965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15,292</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General and</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administrative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2,922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4,217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5,557</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6,640</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6,926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10,953</w:t>
            </w:r>
          </w:p>
        </w:tc>
        <w:tc>
          <w:tcPr>
            <w:tcW w:w="0" w:type="dxa"/>
            <w:vAlign w:val="bottom"/>
          </w:tcPr>
          <w:p>
            <w:pPr>
              <w:spacing w:after="0"/>
              <w:rPr>
                <w:sz w:val="1"/>
                <w:szCs w:val="1"/>
                <w:color w:val="auto"/>
              </w:rPr>
            </w:pPr>
          </w:p>
        </w:tc>
      </w:tr>
      <w:tr>
        <w:trPr>
          <w:trHeight w:val="137"/>
        </w:trPr>
        <w:tc>
          <w:tcPr>
            <w:tcW w:w="1860" w:type="dxa"/>
            <w:vAlign w:val="bottom"/>
          </w:tcPr>
          <w:p>
            <w:pPr>
              <w:ind w:left="580"/>
              <w:spacing w:after="0" w:line="137" w:lineRule="exact"/>
              <w:rPr>
                <w:sz w:val="20"/>
                <w:szCs w:val="20"/>
                <w:color w:val="auto"/>
              </w:rPr>
            </w:pPr>
            <w:r>
              <w:rPr>
                <w:rFonts w:ascii="Arial" w:cs="Arial" w:eastAsia="Arial" w:hAnsi="Arial"/>
                <w:sz w:val="14"/>
                <w:szCs w:val="14"/>
                <w:color w:val="auto"/>
              </w:rPr>
              <w:t>Total operating</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720"/>
              <w:spacing w:after="0"/>
              <w:rPr>
                <w:sz w:val="20"/>
                <w:szCs w:val="20"/>
                <w:color w:val="auto"/>
              </w:rPr>
            </w:pPr>
            <w:r>
              <w:rPr>
                <w:rFonts w:ascii="Arial" w:cs="Arial" w:eastAsia="Arial" w:hAnsi="Arial"/>
                <w:sz w:val="14"/>
                <w:szCs w:val="14"/>
                <w:color w:val="auto"/>
              </w:rPr>
              <w:t>expenses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17,067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16,473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21,409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19,290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25,155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27,693</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30,142</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30,117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41,871</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(6,720)</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(10,011)</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(15,693)</w:t>
            </w:r>
          </w:p>
        </w:tc>
        <w:tc>
          <w:tcPr>
            <w:tcW w:w="0" w:type="dxa"/>
            <w:vAlign w:val="bottom"/>
          </w:tcPr>
          <w:p>
            <w:pPr>
              <w:spacing w:after="0"/>
              <w:rPr>
                <w:sz w:val="1"/>
                <w:szCs w:val="1"/>
                <w:color w:val="auto"/>
              </w:rPr>
            </w:pPr>
          </w:p>
        </w:tc>
      </w:tr>
      <w:tr>
        <w:trPr>
          <w:trHeight w:val="137"/>
        </w:trPr>
        <w:tc>
          <w:tcPr>
            <w:tcW w:w="1860" w:type="dxa"/>
            <w:vAlign w:val="bottom"/>
          </w:tcPr>
          <w:p>
            <w:pPr>
              <w:spacing w:after="0" w:line="137" w:lineRule="exact"/>
              <w:rPr>
                <w:sz w:val="20"/>
                <w:szCs w:val="20"/>
                <w:color w:val="auto"/>
              </w:rPr>
            </w:pPr>
            <w:r>
              <w:rPr>
                <w:rFonts w:ascii="Arial" w:cs="Arial" w:eastAsia="Arial" w:hAnsi="Arial"/>
                <w:sz w:val="14"/>
                <w:szCs w:val="14"/>
                <w:color w:val="auto"/>
              </w:rPr>
              <w:t>Non-operating income</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Arial" w:cs="Arial" w:eastAsia="Arial" w:hAnsi="Arial"/>
                <w:sz w:val="14"/>
                <w:szCs w:val="14"/>
                <w:color w:val="auto"/>
              </w:rPr>
              <w:t>(expense):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306</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5"/>
        </w:trPr>
        <w:tc>
          <w:tcPr>
            <w:tcW w:w="186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690</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3"/>
                <w:szCs w:val="13"/>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Loss before income tax</w:t>
            </w: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(4,191)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(5,279)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(4,912)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(5,931)</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(9,635)</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(4,635)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(14,521)</w:t>
            </w:r>
          </w:p>
        </w:tc>
        <w:tc>
          <w:tcPr>
            <w:tcW w:w="0" w:type="dxa"/>
            <w:vAlign w:val="bottom"/>
          </w:tcPr>
          <w:p>
            <w:pPr>
              <w:spacing w:after="0"/>
              <w:rPr>
                <w:sz w:val="1"/>
                <w:szCs w:val="1"/>
                <w:color w:val="auto"/>
              </w:rPr>
            </w:pPr>
          </w:p>
        </w:tc>
      </w:tr>
      <w:tr>
        <w:trPr>
          <w:trHeight w:val="149"/>
        </w:trPr>
        <w:tc>
          <w:tcPr>
            <w:tcW w:w="1860" w:type="dxa"/>
            <w:vAlign w:val="bottom"/>
          </w:tcPr>
          <w:p>
            <w:pPr>
              <w:ind w:left="280"/>
              <w:spacing w:after="0" w:line="149" w:lineRule="exact"/>
              <w:rPr>
                <w:sz w:val="20"/>
                <w:szCs w:val="20"/>
                <w:color w:val="auto"/>
              </w:rPr>
            </w:pPr>
            <w:r>
              <w:rPr>
                <w:rFonts w:ascii="Arial" w:cs="Arial" w:eastAsia="Arial" w:hAnsi="Arial"/>
                <w:sz w:val="14"/>
                <w:szCs w:val="14"/>
                <w:color w:val="auto"/>
              </w:rPr>
              <w:t>Income tax expense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(6,089)</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(9,725)</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(14,724)</w:t>
            </w:r>
          </w:p>
        </w:tc>
        <w:tc>
          <w:tcPr>
            <w:tcW w:w="0" w:type="dxa"/>
            <w:vAlign w:val="bottom"/>
          </w:tcPr>
          <w:p>
            <w:pPr>
              <w:spacing w:after="0"/>
              <w:rPr>
                <w:sz w:val="1"/>
                <w:szCs w:val="1"/>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Net loss attributable to</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Arial" w:cs="Arial" w:eastAsia="Arial" w:hAnsi="Arial"/>
                <w:sz w:val="14"/>
                <w:szCs w:val="14"/>
                <w:color w:val="auto"/>
              </w:rPr>
              <w:t>non-controlling interest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(176)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Adjustment attributable to</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37"/>
        </w:trPr>
        <w:tc>
          <w:tcPr>
            <w:tcW w:w="1860" w:type="dxa"/>
            <w:vAlign w:val="bottom"/>
          </w:tcPr>
          <w:p>
            <w:pPr>
              <w:ind w:left="280"/>
              <w:spacing w:after="0" w:line="137" w:lineRule="exact"/>
              <w:rPr>
                <w:sz w:val="20"/>
                <w:szCs w:val="20"/>
                <w:color w:val="auto"/>
              </w:rPr>
            </w:pPr>
            <w:r>
              <w:rPr>
                <w:rFonts w:ascii="Arial" w:cs="Arial" w:eastAsia="Arial" w:hAnsi="Arial"/>
                <w:sz w:val="14"/>
                <w:szCs w:val="14"/>
                <w:color w:val="auto"/>
              </w:rPr>
              <w:t>Net loss attributable to</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420"/>
              <w:spacing w:after="0"/>
              <w:rPr>
                <w:sz w:val="20"/>
                <w:szCs w:val="20"/>
                <w:color w:val="auto"/>
              </w:rPr>
            </w:pPr>
            <w:r>
              <w:rPr>
                <w:rFonts w:ascii="Arial" w:cs="Arial" w:eastAsia="Arial" w:hAnsi="Arial"/>
                <w:sz w:val="14"/>
                <w:szCs w:val="14"/>
                <w:color w:val="auto"/>
              </w:rPr>
              <w:t>nCino, Inc.</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(4,251)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(5,324)</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(4,926)</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(7,805)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(3,419)</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(8,502)</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(6,029)</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(9,644)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(4,769)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(14,646)</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86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w w:val="98"/>
              </w:rPr>
              <w:t>Net loss per share attributable</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 nCino, Inc.:</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tcPr>
          <w:p>
            <w:pPr>
              <w:ind w:left="280"/>
              <w:spacing w:after="0" w:line="149" w:lineRule="exact"/>
              <w:rPr>
                <w:sz w:val="20"/>
                <w:szCs w:val="20"/>
                <w:color w:val="auto"/>
              </w:rPr>
            </w:pPr>
            <w:r>
              <w:rPr>
                <w:rFonts w:ascii="Arial" w:cs="Arial" w:eastAsia="Arial" w:hAnsi="Arial"/>
                <w:sz w:val="14"/>
                <w:szCs w:val="14"/>
                <w:color w:val="auto"/>
              </w:rPr>
              <w:t>Basic and diluted</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(0.06)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(0.07)</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(0.07)</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(0.05)</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(0.08)</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86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Weighted average number of</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common shares outstanding:</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tcPr>
          <w:p>
            <w:pPr>
              <w:ind w:left="280"/>
              <w:spacing w:after="0" w:line="149" w:lineRule="exact"/>
              <w:rPr>
                <w:sz w:val="20"/>
                <w:szCs w:val="20"/>
                <w:color w:val="auto"/>
              </w:rPr>
            </w:pPr>
            <w:r>
              <w:rPr>
                <w:rFonts w:ascii="Arial" w:cs="Arial" w:eastAsia="Arial" w:hAnsi="Arial"/>
                <w:sz w:val="14"/>
                <w:szCs w:val="14"/>
                <w:color w:val="auto"/>
              </w:rPr>
              <w:t>Basic and diluted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1"/>
              </w:rPr>
              <w:t>73,124,338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73,708,415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75,647,526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73,124,338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75,986,517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76,420,098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79,382,419</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81,402,156</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81,560,762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84,629,777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w w:val="95"/>
              </w:rPr>
              <w:t>Three Months Ended</w:t>
            </w: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1840" w:type="dxa"/>
            <w:vAlign w:val="bottom"/>
          </w:tcPr>
          <w:p>
            <w:pPr>
              <w:spacing w:after="0"/>
              <w:rPr>
                <w:sz w:val="10"/>
                <w:szCs w:val="10"/>
                <w:color w:val="auto"/>
              </w:rPr>
            </w:pPr>
          </w:p>
        </w:tc>
        <w:tc>
          <w:tcPr>
            <w:tcW w:w="88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April 30,</w:t>
            </w:r>
          </w:p>
        </w:tc>
        <w:tc>
          <w:tcPr>
            <w:tcW w:w="82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w w:val="96"/>
              </w:rPr>
              <w:t>July 31,</w:t>
            </w:r>
          </w:p>
        </w:tc>
        <w:tc>
          <w:tcPr>
            <w:tcW w:w="104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w w:val="97"/>
              </w:rPr>
              <w:t>October 31,</w:t>
            </w:r>
          </w:p>
        </w:tc>
        <w:tc>
          <w:tcPr>
            <w:tcW w:w="106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January 31,</w:t>
            </w:r>
          </w:p>
        </w:tc>
        <w:tc>
          <w:tcPr>
            <w:tcW w:w="88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April 30,</w:t>
            </w:r>
          </w:p>
        </w:tc>
        <w:tc>
          <w:tcPr>
            <w:tcW w:w="82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w w:val="96"/>
              </w:rPr>
              <w:t>July 31,</w:t>
            </w:r>
          </w:p>
        </w:tc>
        <w:tc>
          <w:tcPr>
            <w:tcW w:w="106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w w:val="97"/>
              </w:rPr>
              <w:t>October 31,</w:t>
            </w:r>
          </w:p>
        </w:tc>
        <w:tc>
          <w:tcPr>
            <w:tcW w:w="108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January 31,</w:t>
            </w:r>
          </w:p>
        </w:tc>
        <w:tc>
          <w:tcPr>
            <w:tcW w:w="820" w:type="dxa"/>
            <w:vAlign w:val="bottom"/>
            <w:gridSpan w:val="2"/>
          </w:tcPr>
          <w:p>
            <w:pPr>
              <w:jc w:val="right"/>
              <w:ind w:right="208"/>
              <w:spacing w:after="0" w:line="119" w:lineRule="exact"/>
              <w:rPr>
                <w:sz w:val="20"/>
                <w:szCs w:val="20"/>
                <w:color w:val="auto"/>
              </w:rPr>
            </w:pPr>
            <w:r>
              <w:rPr>
                <w:rFonts w:ascii="Arial" w:cs="Arial" w:eastAsia="Arial" w:hAnsi="Arial"/>
                <w:sz w:val="13"/>
                <w:szCs w:val="13"/>
                <w:b w:val="1"/>
                <w:bCs w:val="1"/>
                <w:color w:val="auto"/>
              </w:rPr>
              <w:t>April 30,</w:t>
            </w: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July 31,</w:t>
            </w:r>
          </w:p>
        </w:tc>
        <w:tc>
          <w:tcPr>
            <w:tcW w:w="220" w:type="dxa"/>
            <w:vAlign w:val="bottom"/>
          </w:tcPr>
          <w:p>
            <w:pPr>
              <w:spacing w:after="0"/>
              <w:rPr>
                <w:sz w:val="10"/>
                <w:szCs w:val="10"/>
                <w:color w:val="auto"/>
              </w:rPr>
            </w:pPr>
          </w:p>
        </w:tc>
      </w:tr>
      <w:tr>
        <w:trPr>
          <w:trHeight w:val="171"/>
        </w:trPr>
        <w:tc>
          <w:tcPr>
            <w:tcW w:w="18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129"/>
        </w:trPr>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Revenues:</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8"/>
        </w:trPr>
        <w:tc>
          <w:tcPr>
            <w:tcW w:w="1840" w:type="dxa"/>
            <w:vAlign w:val="bottom"/>
          </w:tcPr>
          <w:p>
            <w:pPr>
              <w:ind w:left="280"/>
              <w:spacing w:after="0" w:line="149" w:lineRule="exact"/>
              <w:rPr>
                <w:sz w:val="20"/>
                <w:szCs w:val="20"/>
                <w:color w:val="auto"/>
              </w:rPr>
            </w:pPr>
            <w:r>
              <w:rPr>
                <w:rFonts w:ascii="Arial" w:cs="Arial" w:eastAsia="Arial" w:hAnsi="Arial"/>
                <w:sz w:val="14"/>
                <w:szCs w:val="14"/>
                <w:color w:val="auto"/>
              </w:rPr>
              <w:t>Subscription revenues</w:t>
            </w:r>
          </w:p>
        </w:tc>
        <w:tc>
          <w:tcPr>
            <w:tcW w:w="8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70.2 %</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70.3 %</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69.6 %</w:t>
            </w:r>
          </w:p>
        </w:tc>
        <w:tc>
          <w:tcPr>
            <w:tcW w:w="10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71.5 %</w:t>
            </w:r>
          </w:p>
        </w:tc>
        <w:tc>
          <w:tcPr>
            <w:tcW w:w="8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70.5 %</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72.3 %</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73.1 %</w:t>
            </w:r>
          </w:p>
        </w:tc>
        <w:tc>
          <w:tcPr>
            <w:tcW w:w="10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81.7 %</w:t>
            </w:r>
          </w:p>
        </w:tc>
        <w:tc>
          <w:tcPr>
            <w:tcW w:w="8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77.9 %</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80.7 %</w:t>
            </w:r>
          </w:p>
        </w:tc>
      </w:tr>
      <w:tr>
        <w:trPr>
          <w:trHeight w:val="130"/>
        </w:trPr>
        <w:tc>
          <w:tcPr>
            <w:tcW w:w="18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Professional services</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1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revenues</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29.8</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29.7</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30.4</w:t>
            </w: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28.5</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29.5</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27.7</w:t>
            </w:r>
          </w:p>
        </w:tc>
        <w:tc>
          <w:tcPr>
            <w:tcW w:w="106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26.9</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18.3</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22.1</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19.3</w:t>
            </w:r>
          </w:p>
        </w:tc>
      </w:tr>
      <w:tr>
        <w:trPr>
          <w:trHeight w:val="156"/>
        </w:trPr>
        <w:tc>
          <w:tcPr>
            <w:tcW w:w="1840" w:type="dxa"/>
            <w:vAlign w:val="bottom"/>
          </w:tcPr>
          <w:p>
            <w:pPr>
              <w:ind w:left="580"/>
              <w:spacing w:after="0" w:line="155" w:lineRule="exact"/>
              <w:rPr>
                <w:sz w:val="20"/>
                <w:szCs w:val="20"/>
                <w:color w:val="auto"/>
              </w:rPr>
            </w:pPr>
            <w:r>
              <w:rPr>
                <w:rFonts w:ascii="Arial" w:cs="Arial" w:eastAsia="Arial" w:hAnsi="Arial"/>
                <w:sz w:val="14"/>
                <w:szCs w:val="14"/>
                <w:color w:val="auto"/>
              </w:rPr>
              <w:t>Total revenues</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2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9"/>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4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9"/>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2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9"/>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2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9"/>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2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9"/>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4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9"/>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4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9"/>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4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9"/>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28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Cost of revenues (percentage</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8"/>
        </w:trPr>
        <w:tc>
          <w:tcPr>
            <w:tcW w:w="1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shown in comparison to</w:t>
            </w: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7"/>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related revenues):</w:t>
            </w: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1840" w:type="dxa"/>
            <w:vAlign w:val="bottom"/>
          </w:tcPr>
          <w:p>
            <w:pPr>
              <w:ind w:left="280"/>
              <w:spacing w:after="0" w:line="130" w:lineRule="exact"/>
              <w:rPr>
                <w:sz w:val="20"/>
                <w:szCs w:val="20"/>
                <w:color w:val="auto"/>
              </w:rPr>
            </w:pPr>
            <w:r>
              <w:rPr>
                <w:rFonts w:ascii="Arial" w:cs="Arial" w:eastAsia="Arial" w:hAnsi="Arial"/>
                <w:sz w:val="14"/>
                <w:szCs w:val="14"/>
                <w:color w:val="auto"/>
              </w:rPr>
              <w:t>Cost of subscription</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840" w:type="dxa"/>
            <w:vAlign w:val="bottom"/>
          </w:tcPr>
          <w:p>
            <w:pPr>
              <w:ind w:left="420"/>
              <w:spacing w:after="0"/>
              <w:rPr>
                <w:sz w:val="20"/>
                <w:szCs w:val="20"/>
                <w:color w:val="auto"/>
              </w:rPr>
            </w:pPr>
            <w:r>
              <w:rPr>
                <w:rFonts w:ascii="Arial" w:cs="Arial" w:eastAsia="Arial" w:hAnsi="Arial"/>
                <w:sz w:val="14"/>
                <w:szCs w:val="14"/>
                <w:color w:val="auto"/>
              </w:rPr>
              <w:t>revenues</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31.8</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30.1</w:t>
            </w:r>
          </w:p>
        </w:tc>
        <w:tc>
          <w:tcPr>
            <w:tcW w:w="1040" w:type="dxa"/>
            <w:vAlign w:val="bottom"/>
            <w:gridSpan w:val="2"/>
          </w:tcPr>
          <w:p>
            <w:pPr>
              <w:jc w:val="right"/>
              <w:ind w:right="248"/>
              <w:spacing w:after="0"/>
              <w:rPr>
                <w:sz w:val="20"/>
                <w:szCs w:val="20"/>
                <w:color w:val="auto"/>
              </w:rPr>
            </w:pPr>
            <w:r>
              <w:rPr>
                <w:rFonts w:ascii="Arial" w:cs="Arial" w:eastAsia="Arial" w:hAnsi="Arial"/>
                <w:sz w:val="14"/>
                <w:szCs w:val="14"/>
                <w:color w:val="auto"/>
              </w:rPr>
              <w:t>32.0</w:t>
            </w:r>
          </w:p>
        </w:tc>
        <w:tc>
          <w:tcPr>
            <w:tcW w:w="1060" w:type="dxa"/>
            <w:vAlign w:val="bottom"/>
            <w:gridSpan w:val="2"/>
          </w:tcPr>
          <w:p>
            <w:pPr>
              <w:jc w:val="right"/>
              <w:ind w:right="248"/>
              <w:spacing w:after="0"/>
              <w:rPr>
                <w:sz w:val="20"/>
                <w:szCs w:val="20"/>
                <w:color w:val="auto"/>
              </w:rPr>
            </w:pPr>
            <w:r>
              <w:rPr>
                <w:rFonts w:ascii="Arial" w:cs="Arial" w:eastAsia="Arial" w:hAnsi="Arial"/>
                <w:sz w:val="14"/>
                <w:szCs w:val="14"/>
                <w:color w:val="auto"/>
              </w:rPr>
              <w:t>30.5</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30.9</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30.6</w:t>
            </w:r>
          </w:p>
        </w:tc>
        <w:tc>
          <w:tcPr>
            <w:tcW w:w="1060" w:type="dxa"/>
            <w:vAlign w:val="bottom"/>
            <w:gridSpan w:val="2"/>
          </w:tcPr>
          <w:p>
            <w:pPr>
              <w:jc w:val="right"/>
              <w:ind w:right="268"/>
              <w:spacing w:after="0"/>
              <w:rPr>
                <w:sz w:val="20"/>
                <w:szCs w:val="20"/>
                <w:color w:val="auto"/>
              </w:rPr>
            </w:pPr>
            <w:r>
              <w:rPr>
                <w:rFonts w:ascii="Arial" w:cs="Arial" w:eastAsia="Arial" w:hAnsi="Arial"/>
                <w:sz w:val="14"/>
                <w:szCs w:val="14"/>
                <w:color w:val="auto"/>
              </w:rPr>
              <w:t>29.8</w:t>
            </w:r>
          </w:p>
        </w:tc>
        <w:tc>
          <w:tcPr>
            <w:tcW w:w="1080" w:type="dxa"/>
            <w:vAlign w:val="bottom"/>
            <w:gridSpan w:val="2"/>
          </w:tcPr>
          <w:p>
            <w:pPr>
              <w:jc w:val="right"/>
              <w:ind w:right="268"/>
              <w:spacing w:after="0"/>
              <w:rPr>
                <w:sz w:val="20"/>
                <w:szCs w:val="20"/>
                <w:color w:val="auto"/>
              </w:rPr>
            </w:pPr>
            <w:r>
              <w:rPr>
                <w:rFonts w:ascii="Arial" w:cs="Arial" w:eastAsia="Arial" w:hAnsi="Arial"/>
                <w:sz w:val="14"/>
                <w:szCs w:val="14"/>
                <w:color w:val="auto"/>
              </w:rPr>
              <w:t>29.4</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29.0</w:t>
            </w:r>
          </w:p>
        </w:tc>
        <w:tc>
          <w:tcPr>
            <w:tcW w:w="720" w:type="dxa"/>
            <w:vAlign w:val="bottom"/>
            <w:gridSpan w:val="2"/>
          </w:tcPr>
          <w:p>
            <w:pPr>
              <w:jc w:val="right"/>
              <w:ind w:right="148"/>
              <w:spacing w:after="0"/>
              <w:rPr>
                <w:sz w:val="20"/>
                <w:szCs w:val="20"/>
                <w:color w:val="auto"/>
              </w:rPr>
            </w:pPr>
            <w:r>
              <w:rPr>
                <w:rFonts w:ascii="Arial" w:cs="Arial" w:eastAsia="Arial" w:hAnsi="Arial"/>
                <w:sz w:val="14"/>
                <w:szCs w:val="14"/>
                <w:color w:val="auto"/>
              </w:rPr>
              <w:t>30.3</w:t>
            </w:r>
          </w:p>
        </w:tc>
      </w:tr>
      <w:tr>
        <w:trPr>
          <w:trHeight w:val="130"/>
        </w:trPr>
        <w:tc>
          <w:tcPr>
            <w:tcW w:w="18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Cost of professional</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1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services revenues</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103.1</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93.1</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96.6</w:t>
            </w: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98.8</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85.6</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86.7</w:t>
            </w:r>
          </w:p>
        </w:tc>
        <w:tc>
          <w:tcPr>
            <w:tcW w:w="106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84.9</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129.6</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88.7</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113.3</w:t>
            </w:r>
          </w:p>
        </w:tc>
      </w:tr>
      <w:tr>
        <w:trPr>
          <w:trHeight w:val="137"/>
        </w:trPr>
        <w:tc>
          <w:tcPr>
            <w:tcW w:w="1840" w:type="dxa"/>
            <w:vAlign w:val="bottom"/>
          </w:tcPr>
          <w:p>
            <w:pPr>
              <w:ind w:left="580"/>
              <w:spacing w:after="0" w:line="137" w:lineRule="exact"/>
              <w:rPr>
                <w:sz w:val="20"/>
                <w:szCs w:val="20"/>
                <w:color w:val="auto"/>
              </w:rPr>
            </w:pPr>
            <w:r>
              <w:rPr>
                <w:rFonts w:ascii="Arial" w:cs="Arial" w:eastAsia="Arial" w:hAnsi="Arial"/>
                <w:sz w:val="14"/>
                <w:szCs w:val="14"/>
                <w:color w:val="auto"/>
              </w:rPr>
              <w:t>Total cost of</w:t>
            </w: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840" w:type="dxa"/>
            <w:vAlign w:val="bottom"/>
          </w:tcPr>
          <w:p>
            <w:pPr>
              <w:ind w:left="720"/>
              <w:spacing w:after="0"/>
              <w:rPr>
                <w:sz w:val="20"/>
                <w:szCs w:val="20"/>
                <w:color w:val="auto"/>
              </w:rPr>
            </w:pPr>
            <w:r>
              <w:rPr>
                <w:rFonts w:ascii="Arial" w:cs="Arial" w:eastAsia="Arial" w:hAnsi="Arial"/>
                <w:sz w:val="14"/>
                <w:szCs w:val="14"/>
                <w:color w:val="auto"/>
              </w:rPr>
              <w:t>revenues</w:t>
            </w:r>
          </w:p>
        </w:tc>
        <w:tc>
          <w:tcPr>
            <w:tcW w:w="560" w:type="dxa"/>
            <w:vAlign w:val="bottom"/>
          </w:tcPr>
          <w:p>
            <w:pPr>
              <w:jc w:val="right"/>
              <w:spacing w:after="0"/>
              <w:rPr>
                <w:sz w:val="20"/>
                <w:szCs w:val="20"/>
                <w:color w:val="auto"/>
              </w:rPr>
            </w:pPr>
            <w:r>
              <w:rPr>
                <w:rFonts w:ascii="Arial" w:cs="Arial" w:eastAsia="Arial" w:hAnsi="Arial"/>
                <w:sz w:val="14"/>
                <w:szCs w:val="14"/>
                <w:color w:val="auto"/>
              </w:rPr>
              <w:t>53.1</w:t>
            </w:r>
          </w:p>
        </w:tc>
        <w:tc>
          <w:tcPr>
            <w:tcW w:w="320" w:type="dxa"/>
            <w:vAlign w:val="bottom"/>
          </w:tcPr>
          <w:p>
            <w:pPr>
              <w:spacing w:after="0"/>
              <w:rPr>
                <w:sz w:val="14"/>
                <w:szCs w:val="14"/>
                <w:color w:val="auto"/>
              </w:rPr>
            </w:pP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48.8</w:t>
            </w:r>
          </w:p>
        </w:tc>
        <w:tc>
          <w:tcPr>
            <w:tcW w:w="1040" w:type="dxa"/>
            <w:vAlign w:val="bottom"/>
            <w:gridSpan w:val="2"/>
          </w:tcPr>
          <w:p>
            <w:pPr>
              <w:jc w:val="right"/>
              <w:ind w:right="248"/>
              <w:spacing w:after="0"/>
              <w:rPr>
                <w:sz w:val="20"/>
                <w:szCs w:val="20"/>
                <w:color w:val="auto"/>
              </w:rPr>
            </w:pPr>
            <w:r>
              <w:rPr>
                <w:rFonts w:ascii="Arial" w:cs="Arial" w:eastAsia="Arial" w:hAnsi="Arial"/>
                <w:sz w:val="14"/>
                <w:szCs w:val="14"/>
                <w:color w:val="auto"/>
              </w:rPr>
              <w:t>51.6</w:t>
            </w:r>
          </w:p>
        </w:tc>
        <w:tc>
          <w:tcPr>
            <w:tcW w:w="1060" w:type="dxa"/>
            <w:vAlign w:val="bottom"/>
            <w:gridSpan w:val="2"/>
          </w:tcPr>
          <w:p>
            <w:pPr>
              <w:jc w:val="right"/>
              <w:ind w:right="248"/>
              <w:spacing w:after="0"/>
              <w:rPr>
                <w:sz w:val="20"/>
                <w:szCs w:val="20"/>
                <w:color w:val="auto"/>
              </w:rPr>
            </w:pPr>
            <w:r>
              <w:rPr>
                <w:rFonts w:ascii="Arial" w:cs="Arial" w:eastAsia="Arial" w:hAnsi="Arial"/>
                <w:sz w:val="14"/>
                <w:szCs w:val="14"/>
                <w:color w:val="auto"/>
              </w:rPr>
              <w:t>49.9</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47.1</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46.2</w:t>
            </w:r>
          </w:p>
        </w:tc>
        <w:tc>
          <w:tcPr>
            <w:tcW w:w="1060" w:type="dxa"/>
            <w:vAlign w:val="bottom"/>
            <w:gridSpan w:val="2"/>
          </w:tcPr>
          <w:p>
            <w:pPr>
              <w:jc w:val="right"/>
              <w:ind w:right="268"/>
              <w:spacing w:after="0"/>
              <w:rPr>
                <w:sz w:val="20"/>
                <w:szCs w:val="20"/>
                <w:color w:val="auto"/>
              </w:rPr>
            </w:pPr>
            <w:r>
              <w:rPr>
                <w:rFonts w:ascii="Arial" w:cs="Arial" w:eastAsia="Arial" w:hAnsi="Arial"/>
                <w:sz w:val="14"/>
                <w:szCs w:val="14"/>
                <w:color w:val="auto"/>
              </w:rPr>
              <w:t>44.6</w:t>
            </w:r>
          </w:p>
        </w:tc>
        <w:tc>
          <w:tcPr>
            <w:tcW w:w="1080" w:type="dxa"/>
            <w:vAlign w:val="bottom"/>
            <w:gridSpan w:val="2"/>
          </w:tcPr>
          <w:p>
            <w:pPr>
              <w:jc w:val="right"/>
              <w:ind w:right="268"/>
              <w:spacing w:after="0"/>
              <w:rPr>
                <w:sz w:val="20"/>
                <w:szCs w:val="20"/>
                <w:color w:val="auto"/>
              </w:rPr>
            </w:pPr>
            <w:r>
              <w:rPr>
                <w:rFonts w:ascii="Arial" w:cs="Arial" w:eastAsia="Arial" w:hAnsi="Arial"/>
                <w:sz w:val="14"/>
                <w:szCs w:val="14"/>
                <w:color w:val="auto"/>
              </w:rPr>
              <w:t>47.7</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42.2</w:t>
            </w:r>
          </w:p>
        </w:tc>
        <w:tc>
          <w:tcPr>
            <w:tcW w:w="720" w:type="dxa"/>
            <w:vAlign w:val="bottom"/>
            <w:gridSpan w:val="2"/>
          </w:tcPr>
          <w:p>
            <w:pPr>
              <w:jc w:val="right"/>
              <w:ind w:right="148"/>
              <w:spacing w:after="0"/>
              <w:rPr>
                <w:sz w:val="20"/>
                <w:szCs w:val="20"/>
                <w:color w:val="auto"/>
              </w:rPr>
            </w:pPr>
            <w:r>
              <w:rPr>
                <w:rFonts w:ascii="Arial" w:cs="Arial" w:eastAsia="Arial" w:hAnsi="Arial"/>
                <w:sz w:val="14"/>
                <w:szCs w:val="14"/>
                <w:color w:val="auto"/>
              </w:rPr>
              <w:t>46.3</w:t>
            </w:r>
          </w:p>
        </w:tc>
      </w:tr>
      <w:tr>
        <w:trPr>
          <w:trHeight w:val="27"/>
        </w:trPr>
        <w:tc>
          <w:tcPr>
            <w:tcW w:w="1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51.2</w:t>
            </w:r>
          </w:p>
        </w:tc>
        <w:tc>
          <w:tcPr>
            <w:tcW w:w="104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48.4</w:t>
            </w:r>
          </w:p>
        </w:tc>
        <w:tc>
          <w:tcPr>
            <w:tcW w:w="106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50.1</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52.9</w:t>
            </w: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53.8</w:t>
            </w:r>
          </w:p>
        </w:tc>
        <w:tc>
          <w:tcPr>
            <w:tcW w:w="10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55.4</w:t>
            </w:r>
          </w:p>
        </w:tc>
        <w:tc>
          <w:tcPr>
            <w:tcW w:w="108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52.3</w:t>
            </w:r>
          </w:p>
        </w:tc>
        <w:tc>
          <w:tcPr>
            <w:tcW w:w="8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57.8</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53.7</w:t>
            </w:r>
          </w:p>
        </w:tc>
      </w:tr>
      <w:tr>
        <w:trPr>
          <w:trHeight w:val="156"/>
        </w:trPr>
        <w:tc>
          <w:tcPr>
            <w:tcW w:w="1840" w:type="dxa"/>
            <w:vAlign w:val="bottom"/>
          </w:tcPr>
          <w:p>
            <w:pPr>
              <w:spacing w:after="0" w:line="155" w:lineRule="exact"/>
              <w:rPr>
                <w:sz w:val="20"/>
                <w:szCs w:val="20"/>
                <w:color w:val="auto"/>
              </w:rPr>
            </w:pPr>
            <w:r>
              <w:rPr>
                <w:rFonts w:ascii="Arial" w:cs="Arial" w:eastAsia="Arial" w:hAnsi="Arial"/>
                <w:sz w:val="14"/>
                <w:szCs w:val="14"/>
                <w:color w:val="auto"/>
              </w:rPr>
              <w:t>Operating expenses:</w:t>
            </w:r>
          </w:p>
        </w:tc>
        <w:tc>
          <w:tcPr>
            <w:tcW w:w="5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8"/>
        </w:trPr>
        <w:tc>
          <w:tcPr>
            <w:tcW w:w="1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30.6</w:t>
            </w: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34.9</w:t>
            </w:r>
          </w:p>
        </w:tc>
        <w:tc>
          <w:tcPr>
            <w:tcW w:w="104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33.1</w:t>
            </w:r>
          </w:p>
        </w:tc>
        <w:tc>
          <w:tcPr>
            <w:tcW w:w="106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37.0</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26.9</w:t>
            </w: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32.7</w:t>
            </w:r>
          </w:p>
        </w:tc>
        <w:tc>
          <w:tcPr>
            <w:tcW w:w="10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33.3</w:t>
            </w:r>
          </w:p>
        </w:tc>
        <w:tc>
          <w:tcPr>
            <w:tcW w:w="108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34.7</w:t>
            </w:r>
          </w:p>
        </w:tc>
        <w:tc>
          <w:tcPr>
            <w:tcW w:w="8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27.3</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32.0</w:t>
            </w:r>
          </w:p>
        </w:tc>
      </w:tr>
      <w:tr>
        <w:trPr>
          <w:trHeight w:val="130"/>
        </w:trPr>
        <w:tc>
          <w:tcPr>
            <w:tcW w:w="1840" w:type="dxa"/>
            <w:vAlign w:val="bottom"/>
          </w:tcPr>
          <w:p>
            <w:pPr>
              <w:ind w:left="280"/>
              <w:spacing w:after="0" w:line="130" w:lineRule="exact"/>
              <w:rPr>
                <w:sz w:val="20"/>
                <w:szCs w:val="20"/>
                <w:color w:val="auto"/>
              </w:rPr>
            </w:pPr>
            <w:r>
              <w:rPr>
                <w:rFonts w:ascii="Arial" w:cs="Arial" w:eastAsia="Arial" w:hAnsi="Arial"/>
                <w:sz w:val="14"/>
                <w:szCs w:val="14"/>
                <w:color w:val="auto"/>
              </w:rPr>
              <w:t>Research and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840" w:type="dxa"/>
            <w:vAlign w:val="bottom"/>
          </w:tcPr>
          <w:p>
            <w:pPr>
              <w:ind w:left="420"/>
              <w:spacing w:after="0"/>
              <w:rPr>
                <w:sz w:val="20"/>
                <w:szCs w:val="20"/>
                <w:color w:val="auto"/>
              </w:rPr>
            </w:pPr>
            <w:r>
              <w:rPr>
                <w:rFonts w:ascii="Arial" w:cs="Arial" w:eastAsia="Arial" w:hAnsi="Arial"/>
                <w:sz w:val="14"/>
                <w:szCs w:val="14"/>
                <w:color w:val="auto"/>
              </w:rPr>
              <w:t>development</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24.1</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21.8</w:t>
            </w:r>
          </w:p>
        </w:tc>
        <w:tc>
          <w:tcPr>
            <w:tcW w:w="1040" w:type="dxa"/>
            <w:vAlign w:val="bottom"/>
            <w:gridSpan w:val="2"/>
          </w:tcPr>
          <w:p>
            <w:pPr>
              <w:jc w:val="right"/>
              <w:ind w:right="248"/>
              <w:spacing w:after="0"/>
              <w:rPr>
                <w:sz w:val="20"/>
                <w:szCs w:val="20"/>
                <w:color w:val="auto"/>
              </w:rPr>
            </w:pPr>
            <w:r>
              <w:rPr>
                <w:rFonts w:ascii="Arial" w:cs="Arial" w:eastAsia="Arial" w:hAnsi="Arial"/>
                <w:sz w:val="14"/>
                <w:szCs w:val="14"/>
                <w:color w:val="auto"/>
              </w:rPr>
              <w:t>24.6</w:t>
            </w:r>
          </w:p>
        </w:tc>
        <w:tc>
          <w:tcPr>
            <w:tcW w:w="1060" w:type="dxa"/>
            <w:vAlign w:val="bottom"/>
            <w:gridSpan w:val="2"/>
          </w:tcPr>
          <w:p>
            <w:pPr>
              <w:jc w:val="right"/>
              <w:ind w:right="248"/>
              <w:spacing w:after="0"/>
              <w:rPr>
                <w:sz w:val="20"/>
                <w:szCs w:val="20"/>
                <w:color w:val="auto"/>
              </w:rPr>
            </w:pPr>
            <w:r>
              <w:rPr>
                <w:rFonts w:ascii="Arial" w:cs="Arial" w:eastAsia="Arial" w:hAnsi="Arial"/>
                <w:sz w:val="14"/>
                <w:szCs w:val="14"/>
                <w:color w:val="auto"/>
              </w:rPr>
              <w:t>26.2</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24.7</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25.9</w:t>
            </w:r>
          </w:p>
        </w:tc>
        <w:tc>
          <w:tcPr>
            <w:tcW w:w="1060" w:type="dxa"/>
            <w:vAlign w:val="bottom"/>
            <w:gridSpan w:val="2"/>
          </w:tcPr>
          <w:p>
            <w:pPr>
              <w:jc w:val="right"/>
              <w:ind w:right="268"/>
              <w:spacing w:after="0"/>
              <w:rPr>
                <w:sz w:val="20"/>
                <w:szCs w:val="20"/>
                <w:color w:val="auto"/>
              </w:rPr>
            </w:pPr>
            <w:r>
              <w:rPr>
                <w:rFonts w:ascii="Arial" w:cs="Arial" w:eastAsia="Arial" w:hAnsi="Arial"/>
                <w:sz w:val="14"/>
                <w:szCs w:val="14"/>
                <w:color w:val="auto"/>
              </w:rPr>
              <w:t>25.2</w:t>
            </w:r>
          </w:p>
        </w:tc>
        <w:tc>
          <w:tcPr>
            <w:tcW w:w="1080" w:type="dxa"/>
            <w:vAlign w:val="bottom"/>
            <w:gridSpan w:val="2"/>
          </w:tcPr>
          <w:p>
            <w:pPr>
              <w:jc w:val="right"/>
              <w:ind w:right="268"/>
              <w:spacing w:after="0"/>
              <w:rPr>
                <w:sz w:val="20"/>
                <w:szCs w:val="20"/>
                <w:color w:val="auto"/>
              </w:rPr>
            </w:pPr>
            <w:r>
              <w:rPr>
                <w:rFonts w:ascii="Arial" w:cs="Arial" w:eastAsia="Arial" w:hAnsi="Arial"/>
                <w:sz w:val="14"/>
                <w:szCs w:val="14"/>
                <w:color w:val="auto"/>
              </w:rPr>
              <w:t>26.3</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24.5</w:t>
            </w:r>
          </w:p>
        </w:tc>
        <w:tc>
          <w:tcPr>
            <w:tcW w:w="720" w:type="dxa"/>
            <w:vAlign w:val="bottom"/>
            <w:gridSpan w:val="2"/>
          </w:tcPr>
          <w:p>
            <w:pPr>
              <w:jc w:val="right"/>
              <w:ind w:right="148"/>
              <w:spacing w:after="0"/>
              <w:rPr>
                <w:sz w:val="20"/>
                <w:szCs w:val="20"/>
                <w:color w:val="auto"/>
              </w:rPr>
            </w:pPr>
            <w:r>
              <w:rPr>
                <w:rFonts w:ascii="Arial" w:cs="Arial" w:eastAsia="Arial" w:hAnsi="Arial"/>
                <w:sz w:val="14"/>
                <w:szCs w:val="14"/>
                <w:color w:val="auto"/>
              </w:rPr>
              <w:t>31.4</w:t>
            </w:r>
          </w:p>
        </w:tc>
      </w:tr>
      <w:tr>
        <w:trPr>
          <w:trHeight w:val="130"/>
        </w:trPr>
        <w:tc>
          <w:tcPr>
            <w:tcW w:w="18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General and</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1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administrative</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15.3</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18.6</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11.9</w:t>
            </w: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18.5</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13.1</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20.1</w:t>
            </w:r>
          </w:p>
        </w:tc>
        <w:tc>
          <w:tcPr>
            <w:tcW w:w="106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14.7</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17.2</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15.5</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22.5</w:t>
            </w:r>
          </w:p>
        </w:tc>
      </w:tr>
      <w:tr>
        <w:trPr>
          <w:trHeight w:val="137"/>
        </w:trPr>
        <w:tc>
          <w:tcPr>
            <w:tcW w:w="1840" w:type="dxa"/>
            <w:vAlign w:val="bottom"/>
          </w:tcPr>
          <w:p>
            <w:pPr>
              <w:ind w:left="580"/>
              <w:spacing w:after="0" w:line="137" w:lineRule="exact"/>
              <w:rPr>
                <w:sz w:val="20"/>
                <w:szCs w:val="20"/>
                <w:color w:val="auto"/>
              </w:rPr>
            </w:pPr>
            <w:r>
              <w:rPr>
                <w:rFonts w:ascii="Arial" w:cs="Arial" w:eastAsia="Arial" w:hAnsi="Arial"/>
                <w:sz w:val="14"/>
                <w:szCs w:val="14"/>
                <w:color w:val="auto"/>
              </w:rPr>
              <w:t>Total operating</w:t>
            </w: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840" w:type="dxa"/>
            <w:vAlign w:val="bottom"/>
          </w:tcPr>
          <w:p>
            <w:pPr>
              <w:ind w:left="720"/>
              <w:spacing w:after="0"/>
              <w:rPr>
                <w:sz w:val="20"/>
                <w:szCs w:val="20"/>
                <w:color w:val="auto"/>
              </w:rPr>
            </w:pPr>
            <w:r>
              <w:rPr>
                <w:rFonts w:ascii="Arial" w:cs="Arial" w:eastAsia="Arial" w:hAnsi="Arial"/>
                <w:sz w:val="14"/>
                <w:szCs w:val="14"/>
                <w:color w:val="auto"/>
              </w:rPr>
              <w:t>expenses</w:t>
            </w:r>
          </w:p>
        </w:tc>
        <w:tc>
          <w:tcPr>
            <w:tcW w:w="560" w:type="dxa"/>
            <w:vAlign w:val="bottom"/>
          </w:tcPr>
          <w:p>
            <w:pPr>
              <w:jc w:val="right"/>
              <w:spacing w:after="0"/>
              <w:rPr>
                <w:sz w:val="20"/>
                <w:szCs w:val="20"/>
                <w:color w:val="auto"/>
              </w:rPr>
            </w:pPr>
            <w:r>
              <w:rPr>
                <w:rFonts w:ascii="Arial" w:cs="Arial" w:eastAsia="Arial" w:hAnsi="Arial"/>
                <w:sz w:val="14"/>
                <w:szCs w:val="14"/>
                <w:color w:val="auto"/>
              </w:rPr>
              <w:t>70.0</w:t>
            </w:r>
          </w:p>
        </w:tc>
        <w:tc>
          <w:tcPr>
            <w:tcW w:w="320" w:type="dxa"/>
            <w:vAlign w:val="bottom"/>
          </w:tcPr>
          <w:p>
            <w:pPr>
              <w:spacing w:after="0"/>
              <w:rPr>
                <w:sz w:val="14"/>
                <w:szCs w:val="14"/>
                <w:color w:val="auto"/>
              </w:rPr>
            </w:pP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75.3</w:t>
            </w:r>
          </w:p>
        </w:tc>
        <w:tc>
          <w:tcPr>
            <w:tcW w:w="1040" w:type="dxa"/>
            <w:vAlign w:val="bottom"/>
            <w:gridSpan w:val="2"/>
          </w:tcPr>
          <w:p>
            <w:pPr>
              <w:jc w:val="right"/>
              <w:ind w:right="248"/>
              <w:spacing w:after="0"/>
              <w:rPr>
                <w:sz w:val="20"/>
                <w:szCs w:val="20"/>
                <w:color w:val="auto"/>
              </w:rPr>
            </w:pPr>
            <w:r>
              <w:rPr>
                <w:rFonts w:ascii="Arial" w:cs="Arial" w:eastAsia="Arial" w:hAnsi="Arial"/>
                <w:sz w:val="14"/>
                <w:szCs w:val="14"/>
                <w:color w:val="auto"/>
              </w:rPr>
              <w:t>69.6</w:t>
            </w:r>
          </w:p>
        </w:tc>
        <w:tc>
          <w:tcPr>
            <w:tcW w:w="1060" w:type="dxa"/>
            <w:vAlign w:val="bottom"/>
            <w:gridSpan w:val="2"/>
          </w:tcPr>
          <w:p>
            <w:pPr>
              <w:jc w:val="right"/>
              <w:ind w:right="248"/>
              <w:spacing w:after="0"/>
              <w:rPr>
                <w:sz w:val="20"/>
                <w:szCs w:val="20"/>
                <w:color w:val="auto"/>
              </w:rPr>
            </w:pPr>
            <w:r>
              <w:rPr>
                <w:rFonts w:ascii="Arial" w:cs="Arial" w:eastAsia="Arial" w:hAnsi="Arial"/>
                <w:sz w:val="14"/>
                <w:szCs w:val="14"/>
                <w:color w:val="auto"/>
              </w:rPr>
              <w:t>81.7</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64.7</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78.7</w:t>
            </w:r>
          </w:p>
        </w:tc>
        <w:tc>
          <w:tcPr>
            <w:tcW w:w="1060" w:type="dxa"/>
            <w:vAlign w:val="bottom"/>
            <w:gridSpan w:val="2"/>
          </w:tcPr>
          <w:p>
            <w:pPr>
              <w:jc w:val="right"/>
              <w:ind w:right="268"/>
              <w:spacing w:after="0"/>
              <w:rPr>
                <w:sz w:val="20"/>
                <w:szCs w:val="20"/>
                <w:color w:val="auto"/>
              </w:rPr>
            </w:pPr>
            <w:r>
              <w:rPr>
                <w:rFonts w:ascii="Arial" w:cs="Arial" w:eastAsia="Arial" w:hAnsi="Arial"/>
                <w:sz w:val="14"/>
                <w:szCs w:val="14"/>
                <w:color w:val="auto"/>
              </w:rPr>
              <w:t>73.2</w:t>
            </w:r>
          </w:p>
        </w:tc>
        <w:tc>
          <w:tcPr>
            <w:tcW w:w="1080" w:type="dxa"/>
            <w:vAlign w:val="bottom"/>
            <w:gridSpan w:val="2"/>
          </w:tcPr>
          <w:p>
            <w:pPr>
              <w:jc w:val="right"/>
              <w:ind w:right="268"/>
              <w:spacing w:after="0"/>
              <w:rPr>
                <w:sz w:val="20"/>
                <w:szCs w:val="20"/>
                <w:color w:val="auto"/>
              </w:rPr>
            </w:pPr>
            <w:r>
              <w:rPr>
                <w:rFonts w:ascii="Arial" w:cs="Arial" w:eastAsia="Arial" w:hAnsi="Arial"/>
                <w:sz w:val="14"/>
                <w:szCs w:val="14"/>
                <w:color w:val="auto"/>
              </w:rPr>
              <w:t>78.2</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67.3</w:t>
            </w:r>
          </w:p>
        </w:tc>
        <w:tc>
          <w:tcPr>
            <w:tcW w:w="720" w:type="dxa"/>
            <w:vAlign w:val="bottom"/>
            <w:gridSpan w:val="2"/>
          </w:tcPr>
          <w:p>
            <w:pPr>
              <w:jc w:val="right"/>
              <w:ind w:right="148"/>
              <w:spacing w:after="0"/>
              <w:rPr>
                <w:sz w:val="20"/>
                <w:szCs w:val="20"/>
                <w:color w:val="auto"/>
              </w:rPr>
            </w:pPr>
            <w:r>
              <w:rPr>
                <w:rFonts w:ascii="Arial" w:cs="Arial" w:eastAsia="Arial" w:hAnsi="Arial"/>
                <w:sz w:val="14"/>
                <w:szCs w:val="14"/>
                <w:color w:val="auto"/>
              </w:rPr>
              <w:t>85.9</w:t>
            </w:r>
          </w:p>
        </w:tc>
      </w:tr>
      <w:tr>
        <w:trPr>
          <w:trHeight w:val="27"/>
        </w:trPr>
        <w:tc>
          <w:tcPr>
            <w:tcW w:w="1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8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(23.1)</w:t>
            </w:r>
          </w:p>
        </w:tc>
        <w:tc>
          <w:tcPr>
            <w:tcW w:w="8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(24.1)</w:t>
            </w:r>
          </w:p>
        </w:tc>
        <w:tc>
          <w:tcPr>
            <w:tcW w:w="10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(21.2)</w:t>
            </w:r>
          </w:p>
        </w:tc>
        <w:tc>
          <w:tcPr>
            <w:tcW w:w="10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(31.6)</w:t>
            </w:r>
          </w:p>
        </w:tc>
        <w:tc>
          <w:tcPr>
            <w:tcW w:w="8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(11.8)</w:t>
            </w:r>
          </w:p>
        </w:tc>
        <w:tc>
          <w:tcPr>
            <w:tcW w:w="8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(24.9)</w:t>
            </w:r>
          </w:p>
        </w:tc>
        <w:tc>
          <w:tcPr>
            <w:tcW w:w="10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(17.8)</w:t>
            </w:r>
          </w:p>
        </w:tc>
        <w:tc>
          <w:tcPr>
            <w:tcW w:w="10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(25.9)</w:t>
            </w: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(9.5)</w:t>
            </w:r>
          </w:p>
        </w:tc>
        <w:tc>
          <w:tcPr>
            <w:tcW w:w="7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(32.2)</w:t>
            </w:r>
          </w:p>
        </w:tc>
      </w:tr>
      <w:tr>
        <w:trPr>
          <w:trHeight w:val="137"/>
        </w:trPr>
        <w:tc>
          <w:tcPr>
            <w:tcW w:w="1840" w:type="dxa"/>
            <w:vAlign w:val="bottom"/>
          </w:tcPr>
          <w:p>
            <w:pPr>
              <w:spacing w:after="0" w:line="137" w:lineRule="exact"/>
              <w:rPr>
                <w:sz w:val="20"/>
                <w:szCs w:val="20"/>
                <w:color w:val="auto"/>
              </w:rPr>
            </w:pPr>
            <w:r>
              <w:rPr>
                <w:rFonts w:ascii="Arial" w:cs="Arial" w:eastAsia="Arial" w:hAnsi="Arial"/>
                <w:sz w:val="14"/>
                <w:szCs w:val="14"/>
                <w:color w:val="auto"/>
              </w:rPr>
              <w:t>Non-operating income</w:t>
            </w: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840" w:type="dxa"/>
            <w:vAlign w:val="bottom"/>
          </w:tcPr>
          <w:p>
            <w:pPr>
              <w:ind w:left="140"/>
              <w:spacing w:after="0"/>
              <w:rPr>
                <w:sz w:val="20"/>
                <w:szCs w:val="20"/>
                <w:color w:val="auto"/>
              </w:rPr>
            </w:pPr>
            <w:r>
              <w:rPr>
                <w:rFonts w:ascii="Arial" w:cs="Arial" w:eastAsia="Arial" w:hAnsi="Arial"/>
                <w:sz w:val="14"/>
                <w:szCs w:val="14"/>
                <w:color w:val="auto"/>
              </w:rPr>
              <w:t>(expense):</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8"/>
        </w:trPr>
        <w:tc>
          <w:tcPr>
            <w:tcW w:w="1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1.3</w:t>
            </w: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1.3</w:t>
            </w:r>
          </w:p>
        </w:tc>
        <w:tc>
          <w:tcPr>
            <w:tcW w:w="104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1.4</w:t>
            </w:r>
          </w:p>
        </w:tc>
        <w:tc>
          <w:tcPr>
            <w:tcW w:w="106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1.2</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0.8</w:t>
            </w:r>
          </w:p>
        </w:tc>
        <w:tc>
          <w:tcPr>
            <w:tcW w:w="10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0.3</w:t>
            </w:r>
          </w:p>
        </w:tc>
        <w:tc>
          <w:tcPr>
            <w:tcW w:w="108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0.8</w:t>
            </w:r>
          </w:p>
        </w:tc>
        <w:tc>
          <w:tcPr>
            <w:tcW w:w="8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0.3</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0.1</w:t>
            </w:r>
          </w:p>
        </w:tc>
      </w:tr>
      <w:tr>
        <w:trPr>
          <w:trHeight w:val="156"/>
        </w:trPr>
        <w:tc>
          <w:tcPr>
            <w:tcW w:w="184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8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(0.2)</w:t>
            </w:r>
          </w:p>
        </w:tc>
        <w:tc>
          <w:tcPr>
            <w:tcW w:w="82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(0.4)</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(0.9)</w:t>
            </w:r>
          </w:p>
        </w:tc>
        <w:tc>
          <w:tcPr>
            <w:tcW w:w="106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(0.4)</w:t>
            </w:r>
          </w:p>
        </w:tc>
        <w:tc>
          <w:tcPr>
            <w:tcW w:w="82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(1.9)</w:t>
            </w:r>
          </w:p>
        </w:tc>
        <w:tc>
          <w:tcPr>
            <w:tcW w:w="10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1.8</w:t>
            </w:r>
          </w:p>
        </w:tc>
        <w:tc>
          <w:tcPr>
            <w:tcW w:w="108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0.2</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(1.2)</w:t>
            </w:r>
          </w:p>
        </w:tc>
        <w:tc>
          <w:tcPr>
            <w:tcW w:w="7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2.3</w:t>
            </w: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Loss before income tax</w:t>
            </w: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8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(22.0)</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(23.2)</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(20.7)</w:t>
            </w:r>
          </w:p>
        </w:tc>
        <w:tc>
          <w:tcPr>
            <w:tcW w:w="10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(29.4)</w:t>
            </w:r>
          </w:p>
        </w:tc>
        <w:tc>
          <w:tcPr>
            <w:tcW w:w="8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(11.1)</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(26.0)</w:t>
            </w:r>
          </w:p>
        </w:tc>
        <w:tc>
          <w:tcPr>
            <w:tcW w:w="10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(15.7)</w:t>
            </w: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(24.9)</w:t>
            </w: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(10.4)</w:t>
            </w:r>
          </w:p>
        </w:tc>
        <w:tc>
          <w:tcPr>
            <w:tcW w:w="7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(29.8)</w:t>
            </w:r>
          </w:p>
        </w:tc>
      </w:tr>
      <w:tr>
        <w:trPr>
          <w:trHeight w:val="148"/>
        </w:trPr>
        <w:tc>
          <w:tcPr>
            <w:tcW w:w="1840" w:type="dxa"/>
            <w:vAlign w:val="bottom"/>
          </w:tcPr>
          <w:p>
            <w:pPr>
              <w:ind w:left="280"/>
              <w:spacing w:after="0" w:line="149" w:lineRule="exact"/>
              <w:rPr>
                <w:sz w:val="20"/>
                <w:szCs w:val="20"/>
                <w:color w:val="auto"/>
              </w:rPr>
            </w:pPr>
            <w:r>
              <w:rPr>
                <w:rFonts w:ascii="Arial" w:cs="Arial" w:eastAsia="Arial" w:hAnsi="Arial"/>
                <w:sz w:val="14"/>
                <w:szCs w:val="14"/>
                <w:color w:val="auto"/>
              </w:rPr>
              <w:t>Income tax expense</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320" w:type="dxa"/>
            <w:vAlign w:val="bottom"/>
          </w:tcPr>
          <w:p>
            <w:pPr>
              <w:spacing w:after="0"/>
              <w:rPr>
                <w:sz w:val="12"/>
                <w:szCs w:val="12"/>
                <w:color w:val="auto"/>
              </w:rPr>
            </w:pPr>
          </w:p>
        </w:tc>
        <w:tc>
          <w:tcPr>
            <w:tcW w:w="82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0.3</w:t>
            </w: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0.5</w:t>
            </w:r>
          </w:p>
        </w:tc>
        <w:tc>
          <w:tcPr>
            <w:tcW w:w="82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0.6</w:t>
            </w:r>
          </w:p>
        </w:tc>
        <w:tc>
          <w:tcPr>
            <w:tcW w:w="10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0.4</w:t>
            </w:r>
          </w:p>
        </w:tc>
        <w:tc>
          <w:tcPr>
            <w:tcW w:w="108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0.2</w:t>
            </w:r>
          </w:p>
        </w:tc>
        <w:tc>
          <w:tcPr>
            <w:tcW w:w="82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0.4</w:t>
            </w:r>
          </w:p>
        </w:tc>
        <w:tc>
          <w:tcPr>
            <w:tcW w:w="7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0.4</w:t>
            </w:r>
          </w:p>
        </w:tc>
      </w:tr>
      <w:tr>
        <w:trPr>
          <w:trHeight w:val="27"/>
        </w:trPr>
        <w:tc>
          <w:tcPr>
            <w:tcW w:w="1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(22.3 )%</w:t>
            </w: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(23.4 )%</w:t>
            </w: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(20.8 )%</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(29.7 )%</w:t>
            </w:r>
          </w:p>
        </w:tc>
        <w:tc>
          <w:tcPr>
            <w:tcW w:w="8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(11.6 )%</w:t>
            </w: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(26.6 )%</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(16.1 )%</w:t>
            </w:r>
          </w:p>
        </w:tc>
        <w:tc>
          <w:tcPr>
            <w:tcW w:w="10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(25.1 )%</w:t>
            </w: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(10.8 )%</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(30.2 )%</w:t>
            </w:r>
          </w:p>
        </w:tc>
      </w:tr>
      <w:tr>
        <w:trPr>
          <w:trHeight w:val="20"/>
        </w:trPr>
        <w:tc>
          <w:tcPr>
            <w:tcW w:w="1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Quarterly Trends</w:t>
      </w:r>
    </w:p>
    <w:p>
      <w:pPr>
        <w:spacing w:after="0" w:line="225" w:lineRule="exact"/>
        <w:rPr>
          <w:sz w:val="20"/>
          <w:szCs w:val="20"/>
          <w:color w:val="auto"/>
        </w:rPr>
      </w:pPr>
    </w:p>
    <w:p>
      <w:pPr>
        <w:ind w:left="120" w:right="420" w:firstLine="881"/>
        <w:spacing w:after="0" w:line="342" w:lineRule="auto"/>
        <w:rPr>
          <w:sz w:val="20"/>
          <w:szCs w:val="20"/>
          <w:color w:val="auto"/>
        </w:rPr>
      </w:pPr>
      <w:r>
        <w:rPr>
          <w:rFonts w:ascii="Arial" w:cs="Arial" w:eastAsia="Arial" w:hAnsi="Arial"/>
          <w:sz w:val="16"/>
          <w:szCs w:val="16"/>
          <w:color w:val="auto"/>
        </w:rPr>
        <w:t>We have experienced rapid growth in our business in recent periods and as a result, our revenues, margins and operating expenses have fluctuated for a variety of reasons. We expect quarterly fluctuations in our operating results to continue for the foreseeable future.</w:t>
      </w:r>
    </w:p>
    <w:p>
      <w:pPr>
        <w:spacing w:after="0" w:line="124" w:lineRule="exact"/>
        <w:rPr>
          <w:sz w:val="20"/>
          <w:szCs w:val="20"/>
          <w:color w:val="auto"/>
        </w:rPr>
      </w:pPr>
    </w:p>
    <w:p>
      <w:pPr>
        <w:ind w:left="120" w:right="120" w:firstLine="881"/>
        <w:spacing w:after="0" w:line="289" w:lineRule="auto"/>
        <w:rPr>
          <w:sz w:val="20"/>
          <w:szCs w:val="20"/>
          <w:color w:val="auto"/>
        </w:rPr>
      </w:pPr>
      <w:r>
        <w:rPr>
          <w:rFonts w:ascii="Arial" w:cs="Arial" w:eastAsia="Arial" w:hAnsi="Arial"/>
          <w:sz w:val="16"/>
          <w:szCs w:val="16"/>
          <w:color w:val="auto"/>
        </w:rPr>
        <w:t>Our total revenues increased consecutively for all periods presented primarily due to increased subscription revenues from new customers and expansion within existing customers. Variability in professional services revenues from quarter to quarter is driven primarily by the mix of engagements where we perform integration services versus those where our SI partners perform such services. Over the past ten quarters, professional services revenues have generally trended down as a percentage of total revenues, as we have increasingly penetrated larger financial institutions where we rely more heavily on our SI partners for these engagements. Our subscription gross margins have gradually improved over the quarters presented as we benefited from the mix of solutions sold. Professional services gross margins can vary substantially from quarter to quarter, based in part on the mix of engagements where we, as opposed to our SI partners, provide professional services. In the quarter ended January 31, 2020, we recorded negative professional services margins due to project mix, and in the quarter ended July 31, 2020, we recorded negative professional services gross margins primarily as a result of the one-time increase in stock-based compensation expenses as a result of our IPO.</w:t>
      </w:r>
    </w:p>
    <w:p>
      <w:pPr>
        <w:spacing w:after="0" w:line="166"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Total operating expenses generally increased consecutively for all periods presented due primarily to increases in headcount and other related personnel costs, including stock-based compensation expenses, to support our growth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quarter-over-quarter. We plan to continue our investment in sales and marketing for the foreseeable future and incur additional costs for increased headcount for our sales department. The decreased sales and marketing expenses in the quarter ended April 30, 2019 compared to the previous quarter was driven by seasonality of commissions achievement and conferences. We also plan to continue our investment in research and development for the foreseeable future as we focus on developing new applications and further enhancing the nCino Bank Operating System. For the foreseeable future, we also expect to continue to expand our general and administrative functions to support the continued growth of our business and our operations as a public company. During the second quarter of fiscal 2021, we experienced a significant one-time increase in operating expenses from stock-based compensation expenses that was due to the initial expense related to employee RSUs vesting as a result of the completion of our IPO on July 16, 2020 of $10.0 million.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As of July 31, 2020, we had $388.2 million in cash and cash equivalents, and an accumulated deficit of $140.1 million. In July 2020, we received net proceeds of $268.4 million upon completion of our IPO on July 16, 2020.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87"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To date, we have funded our capital needs through issuances of common stock and collections from our customers.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paid $1.3 million in additional IPO related costs during the six months ended July 31, 2020.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78"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We believe that current cash and cash equivalents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nCino K.K.</w:t>
      </w:r>
    </w:p>
    <w:p>
      <w:pPr>
        <w:spacing w:after="0" w:line="22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2020 and July 31, 2020, the redeemable non-controlling interest of non-controlling interests in nCino K.K. was $4.4 million.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Summary Cash Flow information for fiscal 2018, 2019 and 2020 are set forth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$(15,958)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$(4,589)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(8,998)</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$ 10,707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31,906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(2,837)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(7,965)</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(58,027)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(50,843)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70,137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6,260</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84,091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(267,891)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$31.9 million provided by operating activities in the six months ended July 31, 2020 reflects our net loss of $19.6 million, offset by $20.9 million in non-cash charges and $30.6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$25.2 million increase in our deferred revenue, as we expanded our customer base and renewed existing customers, and a $12.6 million decrease in accounts receivable. The cash generated by working capital accounts was partially offset by a $3.5 million decrease in accounts payable and accrued expenses and other liabilities, a decrease of $0.1 million in deferred rent, and payments of $3.6 million of capitalized costs to obtain revenue contracts, which consisted primarily of sales commissions.</w:t>
      </w:r>
    </w:p>
    <w:p>
      <w:pPr>
        <w:spacing w:after="0" w:line="177"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The $10.7 million provided by operating activities in the six months ended July 31, 2019 reflects our net loss of $11.9 million, offset by $6.5 million in non-cash charges and $16.1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$14.4 million increase in our deferred revenue, as we expanded our customer base and renewed existing customers, a $1.0 million increase in deferred rent, and a $4.2 million decrease in accounts receivable. The cash generated by working capital accounts was partially offset by a $1.6 million decrease in accounts payable and accrued expenses and other liabilities, a $0.1 million increase in prepaid expenses and other assets, and payments of $1.8 million of capitalized costs to obtain revenue contracts, which consisted primarily of sales commissions.</w:t>
      </w:r>
    </w:p>
    <w:p>
      <w:pPr>
        <w:spacing w:after="0" w:line="16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$9.0 million we used in operating activities in fiscal 2020 was driven by our net loss of $27.7 million, partially offset by $13.7 million in non-cash charges and $5.1 million generated by changes in working capital accounts. Cash generated by working capital accounts was principally a function of a $22.0 million increase in our deferred revenue, as we expanded our customer base and renewed existing customers, and a $3.5 million increase in accounts payable and accrued expenses and other liabilities. The cash generated by working capital accounts was partially offset by an increase of $14.2 million in accounts receivable due to the timing of collections from customers, payments of $5.6 million of capitalized costs to obtain revenue contracts, which consist primarily of sales commissions, and a $1.6 million increase in prepaid expenses and other assets.</w:t>
      </w:r>
    </w:p>
    <w:p>
      <w:pPr>
        <w:spacing w:after="0" w:line="164"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$4.6 million we used in operating activities in fiscal 2019 was driven by our net loss of $22.3 million, partially offset by $5.7 million in non-cash charges and $12.1 million generated by changes in working capital accounts. Cash generated by working capital accounts was principally a function of a $13.5 million increase in our deferred revenue, as we expanded our customer base and renewed existing customers, and a $4.7 million increase in accounts payable and accrued expenses. The cash generated by working capital accounts was partially offset by an increase of $5.7 million in accounts receivable due to the timing of collections from customers and a $1.2 million increase in prepaid expenses and other assets.</w:t>
      </w:r>
    </w:p>
    <w:p>
      <w:pPr>
        <w:spacing w:after="0" w:line="161"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$16.0 million we used in operating activities in fiscal 2018 was driven by our net loss of $18.6 million and $1.8 million used in working capital accounts, partially offset by $4.5 million in non-cash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charges. Cash used in working capital was principally a function of a $12.4 million increase in accounts receivable due to the timing of collections from customers, partially offset by a $10.8 million increase in deferred revenue, as we expanded our customer base and renewed existing customers.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In fiscal 2020, we used $52.3 million in investing activities to acquire Visible Equity and FinSuite for their product offerings, domain expertise, analytics and data recognition capabilities.</w:t>
      </w:r>
    </w:p>
    <w:p>
      <w:pPr>
        <w:spacing w:after="0" w:line="170" w:lineRule="exact"/>
        <w:rPr>
          <w:sz w:val="20"/>
          <w:szCs w:val="20"/>
          <w:color w:val="auto"/>
        </w:rPr>
      </w:pPr>
    </w:p>
    <w:p>
      <w:pPr>
        <w:ind w:left="120" w:right="280" w:firstLine="881"/>
        <w:spacing w:after="0" w:line="257" w:lineRule="auto"/>
        <w:rPr>
          <w:sz w:val="20"/>
          <w:szCs w:val="20"/>
          <w:color w:val="auto"/>
        </w:rPr>
      </w:pPr>
      <w:r>
        <w:rPr>
          <w:rFonts w:ascii="Arial" w:cs="Arial" w:eastAsia="Arial" w:hAnsi="Arial"/>
          <w:sz w:val="18"/>
          <w:szCs w:val="18"/>
          <w:color w:val="auto"/>
        </w:rPr>
        <w:t>We used $5.8 million, $8.0 million and $2.8 million in investing activities in fiscal 2020, 2019 and fiscal 2018, respectively. We used $2.9 million in investing activities in the six months ended July 31, 2020 for the purchase of property and equipment and leasehold improvements to support the expansion of our business. The $50.8 million used in investing activities in the six months ended July 31, 2019 comprised of $2.6 million used for the purchase of property and equipment and leasehold improvements to support the expansion of our business and $48.2 million used in the acquisition of Visible Equity.</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The $267.9 million provided by financing activities in the six months ended July 31, 2020 was comprised $268.4 million in proceeds from the initial public offering in July 2020, net of underwriting discounts and commissions and $0.9 million of proceeds from the exercise of stock options. The cash provided by financing activities was partially reduced by payments of $1.3 million in costs related to the IPO. The $0.5 million provided by financing activities in the six months ended July 31, 2019 was comprised of proceeds from the exercise of stock options.</w:t>
      </w:r>
    </w:p>
    <w:p>
      <w:pPr>
        <w:spacing w:after="0" w:line="17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$84.1 million provided by financing activities in fiscal 2020 was comprised principally of $79.9 million in proceeds from equity financings, net of issuance costs, as well as $4.5 million in proceeds from the non-controlling interest for our Japan joint venture and $1.0 million of proceeds from the exercise of stock options. The cash provided by financing activities was partially offset by payments of $1.4 million in deferred costs associated with our IPO. The $6.3 million provided by financing activities in fiscal 2019 was comprised of proceeds from the exercise of stock options. The $70.1 million provided by financing activities in fiscal 2018 was comprised principally of $69.2 million in proceeds from equity financings, net of issuance costs, as well as $0.9 million of proceeds from the exercise of stock options.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Our principal commitments consist of future minimum lease payments under non-cancelable operating leases related to our facilities and equipment and a minimum purchase commitment to a related party. The following table summarizes our contractual obligations and commitments as of January 31,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w w:val="95"/>
              </w:rPr>
              <w:t>Payment due by period (in thousands)</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Less than</w:t>
            </w:r>
          </w:p>
        </w:tc>
        <w:tc>
          <w:tcPr>
            <w:tcW w:w="180" w:type="dxa"/>
            <w:vAlign w:val="bottom"/>
          </w:tcPr>
          <w:p>
            <w:pPr>
              <w:spacing w:after="0"/>
              <w:rPr>
                <w:sz w:val="10"/>
                <w:szCs w:val="10"/>
                <w:color w:val="auto"/>
              </w:rPr>
            </w:pPr>
          </w:p>
        </w:tc>
        <w:tc>
          <w:tcPr>
            <w:tcW w:w="8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1 to 3</w:t>
            </w:r>
          </w:p>
        </w:tc>
        <w:tc>
          <w:tcPr>
            <w:tcW w:w="6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3 to 5</w:t>
            </w:r>
          </w:p>
        </w:tc>
        <w:tc>
          <w:tcPr>
            <w:tcW w:w="20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More than 5</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1 year</w:t>
            </w:r>
          </w:p>
        </w:tc>
        <w:tc>
          <w:tcPr>
            <w:tcW w:w="1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years</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years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$8,338</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$4,521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$22,725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Purchase commitments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6,268</w:t>
            </w:r>
          </w:p>
        </w:tc>
        <w:tc>
          <w:tcPr>
            <w:tcW w:w="10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8,338</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4,521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22,925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20" w:firstLine="881"/>
        <w:spacing w:after="0" w:line="311"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20" w:right="360" w:firstLine="881"/>
        <w:spacing w:after="0" w:line="31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29"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At July 31, 2020, we had cash and cash equivalents of $388.2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prospectus. We do not enter into investments for trading or speculative purposes and have not used any derivative financial instruments to manage our interest rate risk exposure.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120" w:right="240" w:firstLine="881"/>
        <w:spacing w:after="0" w:line="289" w:lineRule="auto"/>
        <w:rPr>
          <w:sz w:val="20"/>
          <w:szCs w:val="20"/>
          <w:color w:val="auto"/>
        </w:rPr>
      </w:pPr>
      <w:r>
        <w:rPr>
          <w:rFonts w:ascii="Arial" w:cs="Arial" w:eastAsia="Arial" w:hAnsi="Arial"/>
          <w:sz w:val="16"/>
          <w:szCs w:val="16"/>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appearing elsewhere in this prospectus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Effective February 1, 2019, we adopted the requirement of Accounting Standards Update, or ASU No. 2014-09 “Revenue from Contracts with Customers (Topic 606)” (“ASU 2014-09”) utilizing the modified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For further information regarding the effects of the adoption of Topic 606 on revenue recognition, please refer to Note 2 to our Consolidated Financial Statements appearing elsewhere in this prospectus.</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52" w:lineRule="exact"/>
        <w:rPr>
          <w:sz w:val="20"/>
          <w:szCs w:val="20"/>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Subscription revenues primarily consist of fees for providing customers access to our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 manner in which our customers utilize our subscription offerings. Arrangements with customers do not provide the customer with the right to take possession of the software supporting the cloud-based application service at any time and, as a result, are accounted for as a service contract. Generally, our subscription contracts are three years or longer in length, billed annually in advance, are non-cancelable and do not contain refund-type provisions. Any subscription arrangements that are cancelable generally have penalty clauses.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our professional services contracts are billed on a fixed price basis, and revenues are recognized over time based on a proportional performance methodology which utilizes input methods. A portion of our professional services contracts are billed on a time and materials basis and revenues are recognized over time as the services are performed.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spacing w:after="0" w:line="171"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spacing w:after="0" w:line="184"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In accordance with ASU 2014-09, each quarter we disclose remaining performance obligations (RPOs) in the footnotes to our financial statements.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Accrued income taxes are reported as a component of either other current assets or other accrued liabilities, as appropriate, in our consolidated balance sheets and reflect our estimate of income taxes to be paid or received.</w:t>
      </w:r>
    </w:p>
    <w:p>
      <w:pPr>
        <w:spacing w:after="0" w:line="170"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w:t>
      </w:r>
    </w:p>
    <w:p>
      <w:pPr>
        <w:spacing w:after="0" w:line="165"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A valuation allowance is provided against a deferred tax asset when we determine that it is more likely than not that all, or a portion of, the balance will not be realized. This requires management to utilize significant judgement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 and tax-planning strategies. At January 31, 2020, we determined that it is more likely than not that the majority of our deferred tax assets will not be realized and as such, recorded a valuation allowance of $36.4 million against our deferred tax assets of $39.7 million as of that date.</w:t>
      </w:r>
    </w:p>
    <w:p>
      <w:pPr>
        <w:spacing w:after="0" w:line="178" w:lineRule="exact"/>
        <w:rPr>
          <w:sz w:val="20"/>
          <w:szCs w:val="20"/>
          <w:color w:val="auto"/>
        </w:rPr>
      </w:pPr>
    </w:p>
    <w:p>
      <w:pPr>
        <w:jc w:val="both"/>
        <w:ind w:left="120" w:right="20" w:firstLine="881"/>
        <w:spacing w:after="0" w:line="275" w:lineRule="auto"/>
        <w:rPr>
          <w:sz w:val="20"/>
          <w:szCs w:val="20"/>
          <w:color w:val="auto"/>
        </w:rPr>
      </w:pPr>
      <w:r>
        <w:rPr>
          <w:rFonts w:ascii="Arial" w:cs="Arial" w:eastAsia="Arial" w:hAnsi="Arial"/>
          <w:sz w:val="17"/>
          <w:szCs w:val="17"/>
          <w:color w:val="auto"/>
        </w:rPr>
        <w:t>The Company is subject to income tax in the United States, multiple state and local jurisdictions and various foreign countries. The tax laws and regulations in each jurisdiction may be interpreted differently in certain situations, which could result in differing financial results. The Company is required to exercise judgement regarding the application of these tax laws and regulations. Through this judgement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Stock-based compensation expense related to employees is measured based on the grant-date fair value of the awards. We establish fair value as the measurement objective in accounting for share-based payment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transactions and recognize expense on a straight-line basis over the requisite service period, which is generally the vesting term of four years. Stock-based compensation is recognized net of estimated forfeiture activity. The estimated forfeiture rate applied is based on historical forfeiture rates. The fair value of each award is estimated on the grant date using the Black-Scholes option-pricing model.</w:t>
      </w:r>
    </w:p>
    <w:p>
      <w:pPr>
        <w:spacing w:after="0" w:line="184"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Determining the fair value of stock-based awards at the grant date requires significant judgement. The determination of the grant date fair value of stock-based awards using the Black-Scholes option-pricing model is affected by our estimated common stock fair value as well as other subjective assumptions including the expected term of the awards, the expected volatility over the expected term of the awards, expected dividend yield and risk-free interest rates. The assumptions used in our option-pricing model represent management’s best estimates. These assumptions and estimates are as follows:</w:t>
      </w:r>
    </w:p>
    <w:p>
      <w:pPr>
        <w:spacing w:after="0" w:line="215" w:lineRule="exact"/>
        <w:rPr>
          <w:sz w:val="20"/>
          <w:szCs w:val="20"/>
          <w:color w:val="auto"/>
        </w:rPr>
      </w:pPr>
    </w:p>
    <w:p>
      <w:pPr>
        <w:ind w:left="1420" w:right="114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our stock is not publicly traded, we estimate the fair value of common stock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contemporaneous valuations and other factors deemed relevant by management.</w:t>
      </w:r>
    </w:p>
    <w:p>
      <w:pPr>
        <w:spacing w:after="0" w:line="197" w:lineRule="exact"/>
        <w:rPr>
          <w:rFonts w:ascii="Arial" w:cs="Arial" w:eastAsia="Arial" w:hAnsi="Arial"/>
          <w:sz w:val="18"/>
          <w:szCs w:val="18"/>
          <w:color w:val="auto"/>
        </w:rPr>
      </w:pPr>
    </w:p>
    <w:p>
      <w:pPr>
        <w:ind w:left="1420" w:right="340" w:hanging="319"/>
        <w:spacing w:after="0" w:line="286" w:lineRule="auto"/>
        <w:tabs>
          <w:tab w:leader="none" w:pos="142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employee stock options reflects the period for which the Company believes the option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remain outstanding. To determine the expected term, we generally apply the simplified approach in which the expected term of an award is presumed to be the mid-point between the vesting date and the expiration date of the award.</w:t>
      </w:r>
    </w:p>
    <w:p>
      <w:pPr>
        <w:spacing w:after="0" w:line="192" w:lineRule="exact"/>
        <w:rPr>
          <w:rFonts w:ascii="Arial" w:cs="Arial" w:eastAsia="Arial" w:hAnsi="Arial"/>
          <w:sz w:val="17"/>
          <w:szCs w:val="17"/>
          <w:color w:val="auto"/>
        </w:rPr>
      </w:pPr>
    </w:p>
    <w:p>
      <w:pPr>
        <w:ind w:left="1420" w:right="80" w:hanging="319"/>
        <w:spacing w:after="0" w:line="263"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trading history for our common stock, the selected volatility used is representative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volatility. We base expected future volatility on the historical and implied volatility of comparable publicly traded companies over a similar expected term.</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declared or paid any cash dividends and do not presently intend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we used an expected dividend yield of zero.</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Risk-Free Interest Rates</w:t>
      </w:r>
      <w:r>
        <w:rPr>
          <w:rFonts w:ascii="Arial" w:cs="Arial" w:eastAsia="Arial" w:hAnsi="Arial"/>
          <w:sz w:val="18"/>
          <w:szCs w:val="18"/>
          <w:color w:val="auto"/>
        </w:rPr>
        <w:t>. We base the risk-free interest rate on the rate for a U.S. Treasury zero-coupon issue with a term that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 expected life of the option grant at the date nearest the option grant date.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reflects the weighted average assumptions used to estimate the fair value of options granted during fiscal 2018,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2020:</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6"/>
              </w:rPr>
              <w:t>Fiscal Year Ended January 31,</w:t>
            </w:r>
          </w:p>
        </w:tc>
        <w:tc>
          <w:tcPr>
            <w:tcW w:w="1500" w:type="dxa"/>
            <w:vAlign w:val="bottom"/>
            <w:tcBorders>
              <w:bottom w:val="single" w:sz="8" w:color="auto"/>
            </w:tcBorders>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1480" w:type="dxa"/>
            <w:vAlign w:val="bottom"/>
            <w:gridSpan w:val="2"/>
          </w:tcPr>
          <w:p>
            <w:pPr>
              <w:jc w:val="right"/>
              <w:ind w:right="450"/>
              <w:spacing w:after="0" w:line="142" w:lineRule="exact"/>
              <w:rPr>
                <w:sz w:val="20"/>
                <w:szCs w:val="20"/>
                <w:color w:val="auto"/>
              </w:rPr>
            </w:pPr>
            <w:r>
              <w:rPr>
                <w:rFonts w:ascii="Arial" w:cs="Arial" w:eastAsia="Arial" w:hAnsi="Arial"/>
                <w:sz w:val="14"/>
                <w:szCs w:val="14"/>
                <w:b w:val="1"/>
                <w:bCs w:val="1"/>
                <w:color w:val="auto"/>
              </w:rPr>
              <w:t>2018</w:t>
            </w:r>
          </w:p>
        </w:tc>
        <w:tc>
          <w:tcPr>
            <w:tcW w:w="1840" w:type="dxa"/>
            <w:vAlign w:val="bottom"/>
            <w:gridSpan w:val="3"/>
          </w:tcPr>
          <w:p>
            <w:pPr>
              <w:jc w:val="center"/>
              <w:ind w:left="122"/>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 from vesting)</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6.25</w:t>
            </w: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ind w:right="74"/>
              <w:spacing w:after="0"/>
              <w:rPr>
                <w:sz w:val="20"/>
                <w:szCs w:val="20"/>
                <w:color w:val="auto"/>
              </w:rPr>
            </w:pPr>
            <w:r>
              <w:rPr>
                <w:rFonts w:ascii="Arial" w:cs="Arial" w:eastAsia="Arial" w:hAnsi="Arial"/>
                <w:sz w:val="18"/>
                <w:szCs w:val="18"/>
                <w:color w:val="auto"/>
                <w:w w:val="91"/>
              </w:rPr>
              <w:t>6.10 — 6.25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780" w:type="dxa"/>
            <w:vAlign w:val="bottom"/>
          </w:tcPr>
          <w:p>
            <w:pPr>
              <w:ind w:left="20"/>
              <w:spacing w:after="0"/>
              <w:rPr>
                <w:sz w:val="20"/>
                <w:szCs w:val="20"/>
                <w:color w:val="auto"/>
              </w:rPr>
            </w:pPr>
            <w:r>
              <w:rPr>
                <w:rFonts w:ascii="Arial" w:cs="Arial" w:eastAsia="Arial" w:hAnsi="Arial"/>
                <w:sz w:val="18"/>
                <w:szCs w:val="18"/>
                <w:color w:val="auto"/>
              </w:rPr>
              <w:t>— 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40% — 41%</w:t>
            </w:r>
          </w:p>
        </w:tc>
        <w:tc>
          <w:tcPr>
            <w:tcW w:w="1500" w:type="dxa"/>
            <w:vAlign w:val="bottom"/>
          </w:tcPr>
          <w:p>
            <w:pPr>
              <w:jc w:val="center"/>
              <w:ind w:right="54"/>
              <w:spacing w:after="0"/>
              <w:rPr>
                <w:sz w:val="20"/>
                <w:szCs w:val="20"/>
                <w:color w:val="auto"/>
              </w:rPr>
            </w:pPr>
            <w:r>
              <w:rPr>
                <w:rFonts w:ascii="Arial" w:cs="Arial" w:eastAsia="Arial" w:hAnsi="Arial"/>
                <w:sz w:val="18"/>
                <w:szCs w:val="18"/>
                <w:color w:val="auto"/>
                <w:w w:val="88"/>
              </w:rPr>
              <w:t>40%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4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0.00%</w:t>
            </w:r>
          </w:p>
        </w:tc>
        <w:tc>
          <w:tcPr>
            <w:tcW w:w="1840" w:type="dxa"/>
            <w:vAlign w:val="bottom"/>
            <w:gridSpan w:val="3"/>
            <w:shd w:val="clear" w:color="auto" w:fill="CCEEFF"/>
          </w:tcPr>
          <w:p>
            <w:pPr>
              <w:jc w:val="center"/>
              <w:ind w:left="122"/>
              <w:spacing w:after="0"/>
              <w:rPr>
                <w:sz w:val="20"/>
                <w:szCs w:val="20"/>
                <w:color w:val="auto"/>
              </w:rPr>
            </w:pPr>
            <w:r>
              <w:rPr>
                <w:rFonts w:ascii="Arial" w:cs="Arial" w:eastAsia="Arial" w:hAnsi="Arial"/>
                <w:sz w:val="18"/>
                <w:szCs w:val="18"/>
                <w:color w:val="auto"/>
                <w:w w:val="93"/>
              </w:rPr>
              <w:t>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3"/>
              </w:rPr>
              <w:t>0.00%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rate</w:t>
            </w: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780" w:type="dxa"/>
            <w:vAlign w:val="bottom"/>
          </w:tcPr>
          <w:p>
            <w:pPr>
              <w:ind w:left="20"/>
              <w:spacing w:after="0"/>
              <w:rPr>
                <w:sz w:val="20"/>
                <w:szCs w:val="20"/>
                <w:color w:val="auto"/>
              </w:rPr>
            </w:pPr>
            <w:r>
              <w:rPr>
                <w:rFonts w:ascii="Arial" w:cs="Arial" w:eastAsia="Arial" w:hAnsi="Arial"/>
                <w:sz w:val="18"/>
                <w:szCs w:val="18"/>
                <w:color w:val="auto"/>
                <w:w w:val="99"/>
              </w:rPr>
              <w:t>— 2.27%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2.71% — 3.06%</w:t>
            </w:r>
          </w:p>
        </w:tc>
        <w:tc>
          <w:tcPr>
            <w:tcW w:w="1500" w:type="dxa"/>
            <w:vAlign w:val="bottom"/>
          </w:tcPr>
          <w:p>
            <w:pPr>
              <w:jc w:val="center"/>
              <w:ind w:right="54"/>
              <w:spacing w:after="0"/>
              <w:rPr>
                <w:sz w:val="20"/>
                <w:szCs w:val="20"/>
                <w:color w:val="auto"/>
              </w:rPr>
            </w:pPr>
            <w:r>
              <w:rPr>
                <w:rFonts w:ascii="Arial" w:cs="Arial" w:eastAsia="Arial" w:hAnsi="Arial"/>
                <w:sz w:val="18"/>
                <w:szCs w:val="18"/>
                <w:color w:val="auto"/>
                <w:w w:val="92"/>
              </w:rPr>
              <w:t>1.63% — 2.59%</w:t>
            </w:r>
          </w:p>
        </w:tc>
      </w:tr>
    </w:tbl>
    <w:p>
      <w:pPr>
        <w:spacing w:after="0" w:line="187"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In addition to assumptions used in the Black-Scholes option-pricing model, we must also estimate a forfeiture rate to calculate the stock-based compensation expense for our option awards. Our forfeiture rate is based on an analysis of our actual forfeitures.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rate is revised. If a revised forfeiture rate is higher than the previously estimated forfeiture rate, an adjustment is made that will result in a decrease to the stock-based compensation expense recognized in the financial statements. If a revised forfeiture rate is lower than the previously estimated forfeiture rate, an adjustment is made that will result in an increase to the stock-based compensation expense recognized in the financial statements.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will continue to use judgment in evaluating the assumptions related to our stock-based compensation expense on a prospective basis. If any assumptions used in the Black-Scholes option-pricing model change significantly, stock-based compensation for future awards may differ materially compared with the awards granted previously. As we continue to accumulate additional data related to our common stock, we may have refinements to our estimates, which could materially impact our future stock-based compensation expense.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RSUs are subject to time-based and performance-based vesting conditions. RSUs are generally earned over a service period of four years, expire seven years from the grant date and will only vest upon an initial public offering or change in control. The compensation expense related to these awards is based on the grant date fair value of the RSUs and is recognized on a ratable basis over the applicable service period.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prospectus for recently adopted accounting pronouncements and recently issued accounting pronouncements not yet adopted as of the date of this prospectus.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mission is to transform financial services through innovation, reputation and speed.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78"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SIs to help implement our solution, which has increased our capacity to deliver and deploy the nCino Bank Operating System and enabled us to scale more quickly.</w:t>
      </w:r>
    </w:p>
    <w:p>
      <w:pPr>
        <w:spacing w:after="0" w:line="181"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connects the front, middle and back office employees of a financial institution with clients and third parties across lines of business. We deliver data analytics and AI/ML capabilities through our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92"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9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 nCino Bank Operating System serves a large addressable market opportunity globally as financial institutions make significant investments in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71"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 $64.5 million and</w:t>
      </w:r>
    </w:p>
    <w:p>
      <w:pPr>
        <w:spacing w:after="0" w:line="1" w:lineRule="exact"/>
        <w:rPr>
          <w:sz w:val="20"/>
          <w:szCs w:val="20"/>
          <w:color w:val="auto"/>
        </w:rPr>
      </w:pPr>
    </w:p>
    <w:p>
      <w:pPr>
        <w:ind w:left="120" w:right="60"/>
        <w:spacing w:after="0" w:line="292" w:lineRule="auto"/>
        <w:rPr>
          <w:sz w:val="20"/>
          <w:szCs w:val="20"/>
          <w:color w:val="auto"/>
        </w:rPr>
      </w:pPr>
      <w:r>
        <w:rPr>
          <w:rFonts w:ascii="Arial" w:cs="Arial" w:eastAsia="Arial" w:hAnsi="Arial"/>
          <w:sz w:val="16"/>
          <w:szCs w:val="16"/>
          <w:color w:val="auto"/>
        </w:rPr>
        <w:t>$38.0 million for fiscal 2020, 2019 and 2018, respectively, representing a 64.7% compound annual growth rate. For fiscal 2020, we had a subscription revenue retention rate of 147%. Net losses attributable to nCino for fiscal 2020, 2019 and 2018 were $27.6 million, $22.3 million and $18.6 million, respectively. For the six months ended July 31, 2020 and 2019, our total revenues were $93.5 million and $61.8 million, respectively, representing a 51.2% annual growth rate, and our subscription revenues were $74.2 million and $44.1 million, respectively, representing a 68.1% annual growth rate, and we had net losses attributable to nCino of $19.4 million and $11.9 million for the six months ended July 31, 2020 and 2019, respectively.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320" w:top="459" w:right="5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Institution Clients Increasingly Demand a Seamless, Modern and Transparent Experience</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PwC survey, there has been a 21% increase since 2015 in consumers who use financial institutions that place more importance on experiential factors than interest rates. 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Transformation is Driving Financial Institution Technology Spend Even Higher</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 to increase their technology budgets by at 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Institutions Face Increased Regulatory Scrutiny</w:t>
      </w:r>
    </w:p>
    <w:p>
      <w:pPr>
        <w:spacing w:after="0" w:line="225"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Financial institutions are facing ever increasing regulatory requirements. The Dodd-Frank Wall Street Reform and Consumer Protection Act, the Basel capital requirement standards and the CECL accounting standard have imposed stringent regulations pertaining to capital and leverage ratios and how financial institutions are required to estimate allowances for credit losses. Additionally, increased privacy regulations, such as the European Union’s GDPR and California’s CCPA, have imposed tougher data protection requirements. According to a Thomson Reuters report, compliance costs for financial institutions have increased 13% year-over-year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Automation and Data-Driven Banking</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To accelerate digital transformation, financial institutions are focusing their technology investments on automation, actionable intelligence, predictive analytics and AI/ML.</w:t>
      </w:r>
    </w:p>
    <w:p>
      <w:pPr>
        <w:spacing w:after="0" w:line="197" w:lineRule="exact"/>
        <w:rPr>
          <w:sz w:val="20"/>
          <w:szCs w:val="20"/>
          <w:color w:val="auto"/>
        </w:rPr>
      </w:pPr>
    </w:p>
    <w:p>
      <w:pPr>
        <w:ind w:left="1420" w:right="40" w:hanging="319"/>
        <w:spacing w:after="0" w:line="311" w:lineRule="auto"/>
        <w:tabs>
          <w:tab w:leader="none" w:pos="142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Automation. </w:t>
      </w:r>
      <w:r>
        <w:rPr>
          <w:rFonts w:ascii="Arial" w:cs="Arial" w:eastAsia="Arial" w:hAnsi="Arial"/>
          <w:sz w:val="16"/>
          <w:szCs w:val="16"/>
          <w:color w:val="auto"/>
        </w:rPr>
        <w:t>Financial institutions are marrying digital technologies and data to modernize and automate what were traditionally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75" w:lineRule="exact"/>
        <w:rPr>
          <w:rFonts w:ascii="Arial" w:cs="Arial" w:eastAsia="Arial" w:hAnsi="Arial"/>
          <w:sz w:val="16"/>
          <w:szCs w:val="16"/>
          <w:color w:val="auto"/>
        </w:rPr>
      </w:pPr>
    </w:p>
    <w:p>
      <w:pPr>
        <w:ind w:left="1420" w:right="140" w:hanging="319"/>
        <w:spacing w:after="0" w:line="308" w:lineRule="auto"/>
        <w:tabs>
          <w:tab w:leader="none" w:pos="142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Actionable Intelligence. </w:t>
      </w:r>
      <w:r>
        <w:rPr>
          <w:rFonts w:ascii="Arial" w:cs="Arial" w:eastAsia="Arial" w:hAnsi="Arial"/>
          <w:sz w:val="17"/>
          <w:szCs w:val="17"/>
          <w:color w:val="auto"/>
        </w:rPr>
        <w:t>Actionable intelligence technology offers the ability to synthesize disparate data sets into unified reportable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and provides a recommended course of action to make more informed real-time decisions.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73" w:lineRule="auto"/>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Predictive Analytics. </w:t>
      </w:r>
      <w:r>
        <w:rPr>
          <w:rFonts w:ascii="Arial" w:cs="Arial" w:eastAsia="Arial" w:hAnsi="Arial"/>
          <w:sz w:val="17"/>
          <w:szCs w:val="17"/>
          <w:color w:val="auto"/>
        </w:rPr>
        <w:t>Predictive analytics use cases in financial services include predicting fraud, modeling risk, personalizing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predicting client lifetime value, segmenting clients, enabling recommendation engines, predicting loan defaults and improving client support. The financial and operational benefits of these use cases can be substantial. For example, a 2018 McKinsey report estimated that successful implementations of “next-product-to-buy” recommendation engines within the financial services industry have resulted in an increase of more than 50% in the number of leads offered per client and as many as 6 out of 10 clients purchasing a new product in response to a sales call.</w:t>
      </w:r>
    </w:p>
    <w:p>
      <w:pPr>
        <w:spacing w:after="0" w:line="204" w:lineRule="exact"/>
        <w:rPr>
          <w:rFonts w:ascii="Arial" w:cs="Arial" w:eastAsia="Arial" w:hAnsi="Arial"/>
          <w:sz w:val="17"/>
          <w:szCs w:val="17"/>
          <w:color w:val="auto"/>
        </w:rPr>
      </w:pPr>
    </w:p>
    <w:p>
      <w:pPr>
        <w:ind w:left="1420" w:hanging="319"/>
        <w:spacing w:after="0" w:line="273" w:lineRule="auto"/>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AI/ML. </w:t>
      </w:r>
      <w:r>
        <w:rPr>
          <w:rFonts w:ascii="Arial" w:cs="Arial" w:eastAsia="Arial" w:hAnsi="Arial"/>
          <w:sz w:val="17"/>
          <w:szCs w:val="17"/>
          <w:color w:val="auto"/>
        </w:rPr>
        <w:t>Artificial intelligence makes it possible for machines to perform human-like tasks and analyses. Machine learning 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of artificial intelligence that allows systems to automatically learn and improve their algorithms without being explicitly programmed. AI/ML can be used to continually improve operating results by, for example, modeling credit exposure and estimating the 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digital transformation imperative for financial institutions creates a compelling opportunity for nCino. Financial institutions have been investing significantly in IT applications and infrastructure. Gartner estimates that software global enterprise IT spending within the banking market was approximately $63 billion in 2018, of which approximately $18 billion, or 29%, was for vertical specific software. In addition, demand for cloud-based solutions in banking continues to grow. According to IDC, SaaS revenues from banking is projected to grow from $13 billion in 2018 to $29 billion in 2023, representing a compound annual growth rate of 17%.</w:t>
      </w:r>
    </w:p>
    <w:p>
      <w:pPr>
        <w:spacing w:after="0" w:line="188"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We currently estimate the serviceable market for the nCino Bank Operating System to be greater than $10 billion. This analysis is based on a 2019 study conducted on our behalf by Grata Inc., a third-party market research firm that employed metrics regarding the number of full time employees at financial institutions across banking functions in positions for which the solution we offer is applicable and in geographical markets where we either had a current presence or may enter in the future. The number of such full time employees as estimated by Grata were then multiplied by the “fully-loaded annual price per user” we offered, which itself was determined by using our historical actual ACV for the applicable contracted solutions, divided by the quantities of users sold under such contracts.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of the nCino Bank Operating System</w:t>
      </w:r>
    </w:p>
    <w:p>
      <w:pPr>
        <w:spacing w:after="0" w:line="229"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The nCino Bank Operating System is a single, multi-tenant cloud platform that digitizes client onboarding, loan origination and deposit account opening across commercial, small business and retail lines of 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215" w:lineRule="exact"/>
        <w:rPr>
          <w:sz w:val="20"/>
          <w:szCs w:val="20"/>
          <w:color w:val="auto"/>
        </w:rPr>
      </w:pPr>
    </w:p>
    <w:p>
      <w:pPr>
        <w:ind w:left="1420" w:right="20" w:hanging="319"/>
        <w:spacing w:after="0" w:line="275" w:lineRule="auto"/>
        <w:tabs>
          <w:tab w:leader="none" w:pos="142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Digitally Serve Their Clients Across Commercial, Small Business and Retail Lines of Business. </w:t>
      </w:r>
      <w:r>
        <w:rPr>
          <w:rFonts w:ascii="Arial" w:cs="Arial" w:eastAsia="Arial" w:hAnsi="Arial"/>
          <w:sz w:val="17"/>
          <w:szCs w:val="17"/>
          <w:color w:val="auto"/>
        </w:rPr>
        <w:t>The nCino Bank Operating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55"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Financial Results. </w:t>
      </w:r>
      <w:r>
        <w:rPr>
          <w:rFonts w:ascii="Arial" w:cs="Arial" w:eastAsia="Arial" w:hAnsi="Arial"/>
          <w:sz w:val="18"/>
          <w:szCs w:val="18"/>
          <w:color w:val="auto"/>
        </w:rPr>
        <w:t>Our customers leverage nCino’s capabilities to drive revenue growth by digitally expanding their brand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19" w:lineRule="exact"/>
        <w:rPr>
          <w:rFonts w:ascii="Arial" w:cs="Arial" w:eastAsia="Arial" w:hAnsi="Arial"/>
          <w:sz w:val="18"/>
          <w:szCs w:val="18"/>
          <w:color w:val="auto"/>
        </w:rPr>
      </w:pPr>
    </w:p>
    <w:p>
      <w:pPr>
        <w:jc w:val="both"/>
        <w:ind w:left="1420" w:right="200" w:hanging="319"/>
        <w:spacing w:after="0" w:line="311" w:lineRule="auto"/>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Operate More Efficiently. </w:t>
      </w:r>
      <w:r>
        <w:rPr>
          <w:rFonts w:ascii="Arial" w:cs="Arial" w:eastAsia="Arial" w:hAnsi="Arial"/>
          <w:sz w:val="16"/>
          <w:szCs w:val="16"/>
          <w:color w:val="auto"/>
        </w:rPr>
        <w:t>Utilizing the nCino Bank Operating System’s automation, workflow and digitization capabilities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175" w:lineRule="exact"/>
        <w:rPr>
          <w:rFonts w:ascii="Arial" w:cs="Arial" w:eastAsia="Arial" w:hAnsi="Arial"/>
          <w:sz w:val="16"/>
          <w:szCs w:val="16"/>
          <w:color w:val="auto"/>
        </w:rPr>
      </w:pPr>
    </w:p>
    <w:p>
      <w:pPr>
        <w:ind w:left="1420" w:right="200" w:hanging="319"/>
        <w:spacing w:after="0" w:line="301" w:lineRule="auto"/>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Manage Risk and Compliance More Effectively. </w:t>
      </w:r>
      <w:r>
        <w:rPr>
          <w:rFonts w:ascii="Arial" w:cs="Arial" w:eastAsia="Arial" w:hAnsi="Arial"/>
          <w:sz w:val="16"/>
          <w:szCs w:val="16"/>
          <w:color w:val="auto"/>
        </w:rPr>
        <w:t>The nCino Bank Operating System helps financial institutions reduce regulatory,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184" w:lineRule="exact"/>
        <w:rPr>
          <w:rFonts w:ascii="Arial" w:cs="Arial" w:eastAsia="Arial" w:hAnsi="Arial"/>
          <w:sz w:val="16"/>
          <w:szCs w:val="16"/>
          <w:color w:val="auto"/>
        </w:rPr>
      </w:pPr>
    </w:p>
    <w:p>
      <w:pPr>
        <w:ind w:left="1420" w:hanging="319"/>
        <w:spacing w:after="0" w:line="296" w:lineRule="auto"/>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Establish a Data, Audit and Business Intelligence Hub</w:t>
      </w:r>
      <w:r>
        <w:rPr>
          <w:rFonts w:ascii="Arial" w:cs="Arial" w:eastAsia="Arial" w:hAnsi="Arial"/>
          <w:sz w:val="16"/>
          <w:szCs w:val="16"/>
          <w:color w:val="auto"/>
        </w:rPr>
        <w:t>. With an open API technology framework and integrations with third-party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40"/>
          </w:cols>
          <w:pgMar w:left="320" w:top="459" w:right="5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Our Solution Works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nCino Bank Operating System connects financial institution employees, clients and third parties on a single, cloud-based platform, eliminating silos and bringing new levels of coordination and transparency to the institution. By utilizing a single platform across business lines, processes and channels, banks and credit unions are able to leverage the same data and information across their entire organization. This unified platform provides all of the functionality necessary to complete mission-critical workflow, enabling client onboarding, loan origination, deposit account opening, analytics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54603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86045" cy="546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40"/>
          </w:cols>
          <w:pgMar w:left="32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Applications</w:t>
      </w:r>
    </w:p>
    <w:p>
      <w:pPr>
        <w:spacing w:after="0" w:line="229"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b w:val="1"/>
          <w:bCs w:val="1"/>
          <w:i w:val="1"/>
          <w:iCs w:val="1"/>
          <w:color w:val="auto"/>
        </w:rPr>
        <w:t xml:space="preserve">Client Onboarding. </w:t>
      </w:r>
      <w:r>
        <w:rPr>
          <w:rFonts w:ascii="Arial" w:cs="Arial" w:eastAsia="Arial" w:hAnsi="Arial"/>
          <w:sz w:val="17"/>
          <w:szCs w:val="17"/>
          <w:color w:val="auto"/>
        </w:rPr>
        <w:t>Built into the nCino Bank Operating System is client onboarding functionality that supports the front, middle and back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 onboarding process, allowing financial institutions to effectively evaluate the risk of doing business with a client while providing clients an efficient and personalized user experience. Clients are able to upload documents directly into the nCino Bank Operating System, complete identity verification and provide information about themselves and their business, providing transparency to the financial institution that enables regulatory compliance, such as Know-Your-Customer (“KYC”). With enhanced onboarding reporting tools, banks and credit unions can generate customized reports and use real-time analytics and data from government watchlists and other third-party systems to achieve a holistic client view, enabling our customers to provide more value-added services and custom-tailored offerings.</w:t>
      </w:r>
    </w:p>
    <w:p>
      <w:pPr>
        <w:spacing w:after="0" w:line="17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b w:val="1"/>
          <w:bCs w:val="1"/>
          <w:i w:val="1"/>
          <w:iCs w:val="1"/>
          <w:color w:val="auto"/>
        </w:rPr>
        <w:t>Loan Origination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loan origination functionality embedded within the nCino Bank Operating System combines an innovative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intuitive framework with automated workflow, checklists, document management, analytics and real-time reporting to provide a complete, end-to-end loan origination system from application, to underwriting, to adjudication, to document preparation, to closing. In one view, all stakeholders have visibility into where the loan process stands and what data is needed to complete the process. Post-closing, the nCino Bank Operating System provides a view into loan performance and tools for portfolio management, providing financial institution employees the ability to utilize information to maximize efficiency. Each stakeholder in the loan process works from a single digital loan file allowing clients to apply for loans and upload documents, third parties, such as appraisers, lawyers and regulators, to access and review loan files, and employees to seamlessly manage the entire loan process efficiently and compliantly.</w:t>
      </w:r>
    </w:p>
    <w:p>
      <w:pPr>
        <w:spacing w:after="0" w:line="192"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Our loan origination functionality supports a wide range of lending products across commercial, small business and retail lines of business. The nCino Bank Operating System can facilitate the origination of an institution’s most complex commercial lending products, including syndicated loans, commercial and industrial loans, commercial real estate loans and construction loans, while also supporting the depth required for specific products such as agriculture lending, asset based lending, SBA loans and leasing. Our solution also supports the speed and convenience required for small business and consumer loans across products, such as home equity lines of credit, home equity term loans, uncollateralized lines of credit, automobile loans and credit cards, while providing the tools needed to address regulatory compliance, including fair lending and the Home Mortgage Disclosure Act.</w:t>
      </w:r>
    </w:p>
    <w:p>
      <w:pPr>
        <w:spacing w:after="0" w:line="195" w:lineRule="exact"/>
        <w:rPr>
          <w:sz w:val="20"/>
          <w:szCs w:val="20"/>
          <w:color w:val="auto"/>
        </w:rPr>
      </w:pPr>
    </w:p>
    <w:p>
      <w:pPr>
        <w:ind w:left="120" w:right="220" w:firstLine="881"/>
        <w:spacing w:after="0" w:line="273" w:lineRule="auto"/>
        <w:rPr>
          <w:sz w:val="20"/>
          <w:szCs w:val="20"/>
          <w:color w:val="auto"/>
        </w:rPr>
      </w:pPr>
      <w:r>
        <w:rPr>
          <w:rFonts w:ascii="Arial" w:cs="Arial" w:eastAsia="Arial" w:hAnsi="Arial"/>
          <w:sz w:val="17"/>
          <w:szCs w:val="17"/>
          <w:b w:val="1"/>
          <w:bCs w:val="1"/>
          <w:i w:val="1"/>
          <w:iCs w:val="1"/>
          <w:color w:val="auto"/>
        </w:rPr>
        <w:t>Deposit Account Opening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nCino Bank Operating System’s deposit account opening application optimizes the process for opening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checking, savings, debit/ATM cards, money market, certificates of deposit and retirement accounts. Financial institutions can utilize the intuitive, scalable and flexible workflow to open retail, commercial or small business accounts efficiently while maintaining individual account processes and requirements. Seamlessly embedded within the account opening experience, the nCino Bank Operating System provides the new client onboarding capability to collect KYC related information to meet compliance standards. The deposit account opening application allows clients to open a deposit account digitally, across any device, in a branch, or through a call center, with speed and flexibility.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Platform</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client onboarding, loan origination and deposit account opening applications are built on the nCino platform, which contains common data sets and functionality including:</w:t>
      </w:r>
    </w:p>
    <w:p>
      <w:pPr>
        <w:spacing w:after="0" w:line="197" w:lineRule="exact"/>
        <w:rPr>
          <w:sz w:val="20"/>
          <w:szCs w:val="20"/>
          <w:color w:val="auto"/>
        </w:rPr>
      </w:pPr>
    </w:p>
    <w:p>
      <w:pPr>
        <w:ind w:left="1420" w:right="80" w:hanging="319"/>
        <w:spacing w:after="0" w:line="301" w:lineRule="auto"/>
        <w:tabs>
          <w:tab w:leader="none" w:pos="1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Business process automation that provides workflow to define, streamline and connect the business processes associated with a financial institution’s front, middle and back office operations. Within the nCino platform, framework components use workflow to initiate and complete tasks in an efficient, reliable and effective manner which includes the ability to support complex processes and calculations across client onboarding, loan origination and deposit account opening, such as underwriting and automated decisioning.</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96" w:lineRule="auto"/>
        <w:tabs>
          <w:tab w:leader="none" w:pos="1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Compliance and risk management tools that provide financial institutions with audit, analytics and snapshot capabilities to more effectively manage internal regulation and risk, the examination process and overall compliance standards. The nCino Bank Operating System helps establish baseline performance metrics and sets standards and goals to achieve regulatory requirements and institution specific risk thresholds including with respect to CECL, Allowance for Loan and Lease Losses (“ALLL”) and fair lending. Because the nCino platform is highly configurable, it can adjust as regulations and the institution risk requirements evolve.</w:t>
      </w:r>
    </w:p>
    <w:p>
      <w:pPr>
        <w:spacing w:after="0" w:line="188" w:lineRule="exact"/>
        <w:rPr>
          <w:rFonts w:ascii="Arial" w:cs="Arial" w:eastAsia="Arial" w:hAnsi="Arial"/>
          <w:sz w:val="16"/>
          <w:szCs w:val="16"/>
          <w:color w:val="auto"/>
        </w:rPr>
      </w:pPr>
    </w:p>
    <w:p>
      <w:pPr>
        <w:ind w:left="1420" w:right="60" w:hanging="319"/>
        <w:spacing w:after="0" w:line="259"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intelligent enterprise content management system that includes a standardized filing system across applications, providing instant and ongoing access to digital documentation and checklists to help ensure that compliance and credit requirements are met. For example, client documents are associated with a unique identifier eliminating the need for repeat document collection and duplicative data input.</w:t>
      </w:r>
    </w:p>
    <w:p>
      <w:pPr>
        <w:spacing w:after="0" w:line="213" w:lineRule="exact"/>
        <w:rPr>
          <w:rFonts w:ascii="Arial" w:cs="Arial" w:eastAsia="Arial" w:hAnsi="Arial"/>
          <w:sz w:val="18"/>
          <w:szCs w:val="18"/>
          <w:color w:val="auto"/>
        </w:rPr>
      </w:pPr>
    </w:p>
    <w:p>
      <w:pPr>
        <w:ind w:left="1420" w:right="140" w:hanging="319"/>
        <w:spacing w:after="0" w:line="255"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360-degree client view and reporting capabilities that provide financial institutions the ability to break down internal business line silos and have visibility into the entire client banking relationship, making it easy to connect individuals and businesses to their accounts and products. The reporting capabilities in the nCino platform provide a view into a financial institution’s portfolio and pipeline to more effectively manage and measure operational performance and forecasting. Reports can be set to instantly display everything from loan, deposit and branch information to relationship data offering banks and credit unions greater transparency into their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IQ (nIQ)</w:t>
      </w:r>
    </w:p>
    <w:p>
      <w:pPr>
        <w:spacing w:after="0" w:line="229" w:lineRule="exact"/>
        <w:rPr>
          <w:sz w:val="20"/>
          <w:szCs w:val="20"/>
          <w:color w:val="auto"/>
        </w:rPr>
      </w:pPr>
    </w:p>
    <w:p>
      <w:pPr>
        <w:jc w:val="both"/>
        <w:ind w:left="120" w:right="260" w:firstLine="881"/>
        <w:spacing w:after="0" w:line="287" w:lineRule="auto"/>
        <w:rPr>
          <w:sz w:val="20"/>
          <w:szCs w:val="20"/>
          <w:color w:val="auto"/>
        </w:rPr>
      </w:pPr>
      <w:r>
        <w:rPr>
          <w:rFonts w:ascii="Arial" w:cs="Arial" w:eastAsia="Arial" w:hAnsi="Arial"/>
          <w:sz w:val="16"/>
          <w:szCs w:val="16"/>
          <w:color w:val="auto"/>
        </w:rPr>
        <w:t>nIQ uses AI/ML to increase efficiency through automation and provides insights through analytics across interactions and into portfolio management. As part of the nCino Bank Operating System, nIQ works across a financial institution’s front, middle and back office to empower bank and credit union employees to respond to client needs more quickly and remain compliant by providing increased visibility and actionable insights.</w:t>
      </w:r>
    </w:p>
    <w:p>
      <w:pPr>
        <w:spacing w:after="0" w:line="2" w:lineRule="exact"/>
        <w:rPr>
          <w:sz w:val="20"/>
          <w:szCs w:val="20"/>
          <w:color w:val="auto"/>
        </w:rPr>
      </w:pPr>
    </w:p>
    <w:p>
      <w:pPr>
        <w:ind w:left="120" w:right="240"/>
        <w:spacing w:after="0" w:line="292" w:lineRule="auto"/>
        <w:rPr>
          <w:sz w:val="20"/>
          <w:szCs w:val="20"/>
          <w:color w:val="auto"/>
        </w:rPr>
      </w:pPr>
      <w:r>
        <w:rPr>
          <w:rFonts w:ascii="Arial" w:cs="Arial" w:eastAsia="Arial" w:hAnsi="Arial"/>
          <w:sz w:val="16"/>
          <w:szCs w:val="16"/>
          <w:color w:val="auto"/>
        </w:rPr>
        <w:t>Leveraging optical character recognition technology, financial institutions can utilize nIQ to automate data extraction, such as extracting data from scanned tax returns and financial statements, providing new levels of automation in underwriting and greatly reducing loan origination timeframes. Financial institutions can also leverage predictive analytics to measure performance and monitor risk across the organization, including assessing the credit risk and cash flows of loans and supporting automated loan decisioning. nIQ provides information when it’s needed, at the point of interaction, allowing bank and credit union employees to focus on their client’s needs with increased levels of personalized, predictive data.</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Open APIs</w:t>
      </w:r>
    </w:p>
    <w:p>
      <w:pPr>
        <w:spacing w:after="0" w:line="22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By leveraging open APIs and productized integrations, the nCino Bank Operating System creates an open ecosystem that brings together disparate data sources and systems, acting as a data hub that integrates with core systems, credit reporting agencies and other third-party applications to centralize a financial institution’s data creating an actionable single data platform and warehouse.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We believe our position as a leading global provider of cloud banking software for financial institutions is built on a foundation of the following strengths:</w:t>
      </w:r>
    </w:p>
    <w:p>
      <w:pPr>
        <w:spacing w:after="0" w:line="197" w:lineRule="exact"/>
        <w:rPr>
          <w:sz w:val="20"/>
          <w:szCs w:val="20"/>
          <w:color w:val="auto"/>
        </w:rPr>
      </w:pPr>
    </w:p>
    <w:p>
      <w:pPr>
        <w:ind w:left="1420" w:right="20" w:hanging="319"/>
        <w:spacing w:after="0" w:line="259"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by Bankers for Bankers. </w:t>
      </w:r>
      <w:r>
        <w:rPr>
          <w:rFonts w:ascii="Arial" w:cs="Arial" w:eastAsia="Arial" w:hAnsi="Arial"/>
          <w:sz w:val="18"/>
          <w:szCs w:val="18"/>
          <w:color w:val="auto"/>
        </w:rPr>
        <w:t>Our company was started by banking professionals who recognized the need for a single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address the endemic challenges faced by financial 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79" w:lineRule="auto"/>
        <w:tabs>
          <w:tab w:leader="none" w:pos="142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Cloud Banking Technology Pioneer and Market Leader. </w:t>
      </w:r>
      <w:r>
        <w:rPr>
          <w:rFonts w:ascii="Arial" w:cs="Arial" w:eastAsia="Arial" w:hAnsi="Arial"/>
          <w:sz w:val="17"/>
          <w:szCs w:val="17"/>
          <w:color w:val="auto"/>
        </w:rPr>
        <w:t>The nCino Bank Operating System was developed from inception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198" w:lineRule="exact"/>
        <w:rPr>
          <w:rFonts w:ascii="Arial" w:cs="Arial" w:eastAsia="Arial" w:hAnsi="Arial"/>
          <w:sz w:val="17"/>
          <w:szCs w:val="17"/>
          <w:color w:val="auto"/>
        </w:rPr>
      </w:pPr>
    </w:p>
    <w:p>
      <w:pPr>
        <w:ind w:left="1420" w:right="120" w:hanging="319"/>
        <w:spacing w:after="0" w:line="259"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SaaS Platform. </w:t>
      </w:r>
      <w:r>
        <w:rPr>
          <w:rFonts w:ascii="Arial" w:cs="Arial" w:eastAsia="Arial" w:hAnsi="Arial"/>
          <w:sz w:val="18"/>
          <w:szCs w:val="18"/>
          <w:color w:val="auto"/>
        </w:rPr>
        <w:t>We deliver a single SaaS platform that spans business lines and replaces point and other legacy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client onboarding, loan origination and deposit account opening. This approach allows financial institutions to leverage common data sets and workflow across lines of business, providing a consistent and engaging digital experience for their employees and clients and a more comprehensive view of client relationships.</w:t>
      </w:r>
    </w:p>
    <w:p>
      <w:pPr>
        <w:spacing w:after="0" w:line="213" w:lineRule="exact"/>
        <w:rPr>
          <w:rFonts w:ascii="Arial" w:cs="Arial" w:eastAsia="Arial" w:hAnsi="Arial"/>
          <w:sz w:val="18"/>
          <w:szCs w:val="18"/>
          <w:color w:val="auto"/>
        </w:rPr>
      </w:pPr>
    </w:p>
    <w:p>
      <w:pPr>
        <w:ind w:left="1420" w:right="200" w:hanging="319"/>
        <w:spacing w:after="0" w:line="272" w:lineRule="auto"/>
        <w:tabs>
          <w:tab w:leader="none" w:pos="142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Measurable Return on Investment. </w:t>
      </w:r>
      <w:r>
        <w:rPr>
          <w:rFonts w:ascii="Arial" w:cs="Arial" w:eastAsia="Arial" w:hAnsi="Arial"/>
          <w:sz w:val="17"/>
          <w:szCs w:val="17"/>
          <w:color w:val="auto"/>
        </w:rPr>
        <w:t>The nCino Bank Operating System provides quantifiable results for our customers,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client growth and retention, loan volume and efficiency and reduced loan closing times, policy exceptions and operating costs. We enable our customers to digitally serve their clients across products and channels, providing increased client engagement, enhanced communication and increased opportunities to grow wallet share. Our solution allows our customers to operate more efficiently by increasing employee accountability and productivity and shortening the time it takes to onboard a client, make a loan and open an account. Our solution empowers our customers with data driven, real-time insights into their business performance, enabling them to better measure and manage their operations.</w:t>
      </w:r>
    </w:p>
    <w:p>
      <w:pPr>
        <w:spacing w:after="0" w:line="204" w:lineRule="exact"/>
        <w:rPr>
          <w:rFonts w:ascii="Arial" w:cs="Arial" w:eastAsia="Arial" w:hAnsi="Arial"/>
          <w:sz w:val="17"/>
          <w:szCs w:val="17"/>
          <w:color w:val="auto"/>
        </w:rPr>
      </w:pPr>
    </w:p>
    <w:p>
      <w:pPr>
        <w:ind w:left="1420" w:hanging="319"/>
        <w:spacing w:after="0" w:line="275" w:lineRule="auto"/>
        <w:tabs>
          <w:tab w:leader="none" w:pos="142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Empowering the Intelligent Enterprise. </w:t>
      </w:r>
      <w:r>
        <w:rPr>
          <w:rFonts w:ascii="Arial" w:cs="Arial" w:eastAsia="Arial" w:hAnsi="Arial"/>
          <w:sz w:val="17"/>
          <w:szCs w:val="17"/>
          <w:color w:val="auto"/>
        </w:rPr>
        <w:t>Through our nIQ applications, we leverage analytics and AI/ML to help financial institutions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203" w:lineRule="exact"/>
        <w:rPr>
          <w:rFonts w:ascii="Arial" w:cs="Arial" w:eastAsia="Arial" w:hAnsi="Arial"/>
          <w:sz w:val="17"/>
          <w:szCs w:val="17"/>
          <w:color w:val="auto"/>
        </w:rPr>
      </w:pPr>
    </w:p>
    <w:p>
      <w:pPr>
        <w:ind w:left="1420" w:hanging="319"/>
        <w:spacing w:after="0" w:line="291" w:lineRule="auto"/>
        <w:tabs>
          <w:tab w:leader="none" w:pos="142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Award-Winning Culture. </w:t>
      </w:r>
      <w:r>
        <w:rPr>
          <w:rFonts w:ascii="Arial" w:cs="Arial" w:eastAsia="Arial" w:hAnsi="Arial"/>
          <w:sz w:val="16"/>
          <w:szCs w:val="16"/>
          <w:color w:val="auto"/>
        </w:rPr>
        <w:t>We are in the business of fundamentally changing the way financial institutions operate. To transform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nCino Will Grow</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intend to continue growing our business by executing on the following strategies:</w:t>
      </w:r>
    </w:p>
    <w:p>
      <w:pPr>
        <w:spacing w:after="0" w:line="252" w:lineRule="exact"/>
        <w:rPr>
          <w:sz w:val="20"/>
          <w:szCs w:val="20"/>
          <w:color w:val="auto"/>
        </w:rPr>
      </w:pPr>
    </w:p>
    <w:p>
      <w:pPr>
        <w:ind w:left="1420" w:right="240" w:hanging="319"/>
        <w:spacing w:after="0" w:line="25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and Across our Existing Customers. </w:t>
      </w:r>
      <w:r>
        <w:rPr>
          <w:rFonts w:ascii="Arial" w:cs="Arial" w:eastAsia="Arial" w:hAnsi="Arial"/>
          <w:sz w:val="18"/>
          <w:szCs w:val="18"/>
          <w:color w:val="auto"/>
        </w:rPr>
        <w:t>We believe there is a significant opportunity to further expand within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 base both vertically within business lines and horizontally across business lines. As an example, we formally launched our solution in retail lending in May 2018 and, as of August 31, 2020, we had 40 customers contracted to use both our commercial and retail loan origination applications. Our revenues from existing customers continue to grow as additional users are added, creating strong customer cohort dynamics.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 w:hanging="319"/>
        <w:spacing w:after="0" w:line="254"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Customer Base. </w:t>
      </w:r>
      <w:r>
        <w:rPr>
          <w:rFonts w:ascii="Arial" w:cs="Arial" w:eastAsia="Arial" w:hAnsi="Arial"/>
          <w:sz w:val="18"/>
          <w:szCs w:val="18"/>
          <w:color w:val="auto"/>
        </w:rPr>
        <w:t>We believe the global market for cloud banking is large and underserved. With banks and credit unions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needing to replace legacy point products with more efficient technology and banking services continuing to shift to digital, we believe there is a significant opportunity to deliver our solution and expand our customer base to financial institutions of all sizes and complexity around the world. Currently deployed in 10 countries, we have made significant investments to expand our presence in EMEA and APAC, and our solution can currently support over 120 languages and over 140 currencies. We promote sales in North America out of our offices in the United States and Canada, in APAC out of our offices in Australia and Japan, and in EMEA out of our office in the UK.</w:t>
      </w:r>
    </w:p>
    <w:p>
      <w:pPr>
        <w:spacing w:after="0" w:line="221" w:lineRule="exact"/>
        <w:rPr>
          <w:rFonts w:ascii="Arial" w:cs="Arial" w:eastAsia="Arial" w:hAnsi="Arial"/>
          <w:sz w:val="18"/>
          <w:szCs w:val="18"/>
          <w:color w:val="auto"/>
        </w:rPr>
      </w:pPr>
    </w:p>
    <w:p>
      <w:pPr>
        <w:ind w:left="1420" w:hanging="319"/>
        <w:spacing w:after="0" w:line="271" w:lineRule="auto"/>
        <w:tabs>
          <w:tab w:leader="none" w:pos="142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Strengthening and Extending our Product Functionality. </w:t>
      </w:r>
      <w:r>
        <w:rPr>
          <w:rFonts w:ascii="Arial" w:cs="Arial" w:eastAsia="Arial" w:hAnsi="Arial"/>
          <w:sz w:val="17"/>
          <w:szCs w:val="17"/>
          <w:color w:val="auto"/>
        </w:rPr>
        <w:t>We plan to extend the depth and breadth of the nCino Bank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205" w:lineRule="exact"/>
        <w:rPr>
          <w:rFonts w:ascii="Arial" w:cs="Arial" w:eastAsia="Arial" w:hAnsi="Arial"/>
          <w:sz w:val="17"/>
          <w:szCs w:val="17"/>
          <w:color w:val="auto"/>
        </w:rPr>
      </w:pPr>
    </w:p>
    <w:p>
      <w:pPr>
        <w:ind w:left="1420" w:hanging="319"/>
        <w:spacing w:after="0" w:line="254"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Foster and Grow our SI and Technology Ecosystem. </w:t>
      </w:r>
      <w:r>
        <w:rPr>
          <w:rFonts w:ascii="Arial" w:cs="Arial" w:eastAsia="Arial" w:hAnsi="Arial"/>
          <w:sz w:val="18"/>
          <w:szCs w:val="18"/>
          <w:color w:val="auto"/>
        </w:rPr>
        <w:t>We have developed strong relationships with a number of leading SIs,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21" w:lineRule="exact"/>
        <w:rPr>
          <w:rFonts w:ascii="Arial" w:cs="Arial" w:eastAsia="Arial" w:hAnsi="Arial"/>
          <w:sz w:val="18"/>
          <w:szCs w:val="18"/>
          <w:color w:val="auto"/>
        </w:rPr>
      </w:pPr>
    </w:p>
    <w:p>
      <w:pPr>
        <w:ind w:left="1420" w:right="20" w:hanging="319"/>
        <w:spacing w:after="0" w:line="25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Strategic Transactions. </w:t>
      </w:r>
      <w:r>
        <w:rPr>
          <w:rFonts w:ascii="Arial" w:cs="Arial" w:eastAsia="Arial" w:hAnsi="Arial"/>
          <w:sz w:val="18"/>
          <w:szCs w:val="18"/>
          <w:color w:val="auto"/>
        </w:rPr>
        <w:t>In addition to developing our solution organically, we may selectively pursue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as such ConnectOne Bank, IBERIANBANK,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 a substantial level of ACV in its respective category. As of July 31, 2020, we had over 305 financial institutions that utilized the nCino Bank Operating System for client onboarding, loan origination and/or deposit account opening, of which 198 each generated more than $100,000 in subscription revenues for the twelve months ended July 31, 2020. In addition, we have over 920 financial</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institutions that use the portfolio analytics solution we acquired with the Visible Equity acquisition in fiscal 2020, which is now part of nIQ. In total, we had over 1,225 financial institution customers as of July 31, 2020. No single customer represented more than 10% of total revenues in fiscal 2020.</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Case Studies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TD Bank (Global Enterprise Bank)</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TD Bank, America’s Most Convenient Bank, is one of the 10 largest banks in the U.S. with $320 billion in assets as of December 31, 2019. Headquartered in Cherry Hill, New Jersey, TD Bank became an nCino customer in 2016. TD Bank was in need of an end-to-end solution that would modernize its technical framework, facilitate collaboration and information sharing across Corporate and Specialty Banking, Commercial Banking and Small Business Banking, and significantly reduce manual processes and lending decision times. The nCino Bank Operating System enabled TD Bank to streamline corporate, commercial and small business lending by consolidating the client relationship, underwriting and credit administration functions onto one platform.</w:t>
      </w:r>
    </w:p>
    <w:p>
      <w:pPr>
        <w:spacing w:after="0" w:line="219" w:lineRule="exact"/>
        <w:rPr>
          <w:sz w:val="20"/>
          <w:szCs w:val="20"/>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Improved communication and data transfer across business units, allowing TD Bank to better serve its clients.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the implementation of nCino, TD retired multiple legacy applications, checklist documents and spreadsheets.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“TD Bank’s investment into the nCino platform ultimately will enable us to provide a seamless experience to our clients and an improved employee experience—both critical to the success of the organization. Through nCino, TD Bank is consolidating numerous legacy systems into one top-tier, foundational platform that allows for better communication, credit administration and processes, and through data, advanced visibility into the lifecycle of relationships and future opportunities.” —Chris Giamo, Head of Commercial Banking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Santander UK (Global Enterprise Bank)</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A wholly owned subsidiary of Banco Santander, Santander UK is one of the largest retail and commercial banks based in the UK with assets of more than £281 billion as of December 31, 2019 and approximately 23,500 employees. Santander UK became an nCino customer in 2018 as part of a multi-year transformation program to replace outdated legacy systems and increase speed and efficiency across their front, middle and back office operations. nCino provides Santander UK employees with a holistic view of the client, allowing staff to be better-informed and deliver an improved client experience. This experience will continue to improve as the bank rolls out additional phases of the nCino project through 2020, including implementing nCino’s Customer Portal features.</w:t>
      </w:r>
    </w:p>
    <w:p>
      <w:pPr>
        <w:spacing w:after="0" w:line="219" w:lineRule="exact"/>
        <w:rPr>
          <w:sz w:val="20"/>
          <w:szCs w:val="20"/>
          <w:color w:val="auto"/>
        </w:rPr>
      </w:pPr>
    </w:p>
    <w:p>
      <w:pPr>
        <w:jc w:val="both"/>
        <w:ind w:left="1420" w:right="240" w:hanging="319"/>
        <w:spacing w:after="0" w:line="342" w:lineRule="auto"/>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By leveraging the nCino Bank Operating System’s loan origination functionality for both commercial and small and medium sized business banking, Santander UK has been able to replace 13 disparate legacy systems in favor of a single loan origination platform.</w:t>
      </w:r>
    </w:p>
    <w:p>
      <w:pPr>
        <w:spacing w:after="0" w:line="150" w:lineRule="exact"/>
        <w:rPr>
          <w:rFonts w:ascii="Arial" w:cs="Arial" w:eastAsia="Arial" w:hAnsi="Arial"/>
          <w:sz w:val="16"/>
          <w:szCs w:val="16"/>
          <w:color w:val="auto"/>
        </w:rPr>
      </w:pPr>
    </w:p>
    <w:p>
      <w:pPr>
        <w:ind w:left="1420" w:right="26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use of nCino has helped the bank to streamline processes, increase transparency in lending workflows, and decrease lead cycle and credit decision times.</w:t>
      </w:r>
    </w:p>
    <w:p>
      <w:pPr>
        <w:spacing w:after="0" w:line="170"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i w:val="1"/>
          <w:iCs w:val="1"/>
          <w:color w:val="auto"/>
        </w:rPr>
        <w:t>“Santander UK has embarked on a transformation project to deliver a cutting-edge experience for our clients and nCino is a critical part of our strategy. With the nCino Bank Operating System in place, we no longer rely on siloed legacy systems that require rekeying information and result in prolonged turnaround times. Instead, we have a modern, flexible and scalable technology solution that allows us to offer our clients a faster, more efficient and more transparent onboarding and lending experience.” —Chris Fallis, Chief Operating Officer, Corporate &amp; Commercial Banking</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ConnectOne Bank (Regional/Community Bank)</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With headquarters based in Englewood Cliffs, New Jersey, ConnectOne Bank, with an asset size of approximately $6 billion as of December 31, 2019, serves the highly competitive New York City metro market with branches throughout New York and New Jersey. ConnectOne became an nCino customer in 2017. ConnectOne challenged itself to find a single platform solution that could digitize and automate workflows across multiple lines of business, enable the bank to digitally maintain all of its clients’ information in one place, and provide real-time visibility into their loan portfolio and pipeline. nCino provides ConnectOne a single cloud-based platform for their commercial and retail lending operations that enables speed throughout the organization, eliminates bottlenecks, scales across multiple lines of business and helps enable future growth through an improved customer experience.</w:t>
      </w:r>
    </w:p>
    <w:p>
      <w:pPr>
        <w:spacing w:after="0" w:line="222" w:lineRule="exact"/>
        <w:rPr>
          <w:sz w:val="20"/>
          <w:szCs w:val="20"/>
          <w:color w:val="auto"/>
        </w:rPr>
      </w:pPr>
    </w:p>
    <w:p>
      <w:pPr>
        <w:ind w:left="1420" w:right="46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Since going live with the nCino Bank Operating System, ConnectOne has experienced major improvements in workflow, client experience and operational efficiency.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nCino helps ConnectOne attract and retain talent by providing state-of-the-art cloud technology for its employees to utilize.</w:t>
      </w:r>
    </w:p>
    <w:p>
      <w:pPr>
        <w:spacing w:after="0" w:line="23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“At ConnectOne, we’ve built our success through our sense of urgency and culture of efficiency. The nCino platform allows us to scale this culture by providing a fully digitized end to end experience. With nCino, it takes maybe a minute to put a lead’s information into the system and start the process. It’s a game changer. We were already processing loans pretty quickly, but with nCino it is cutting time from the process.”—Frank Sorrentino, CEO and Chairman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Wright-Patt Credit Union (Credit Union)</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Ohio based Wright-Patt Credit Union (“WPCU”), is one of the 50 largest credit unions in the U.S. with 400,000 members, 31 branches and $5.0 billion in assets as of December 31, 2019. WPCU became an nCino customer in 2015 when they were looking to digitize their commercial lending process to focus on growth and serving business clients. By selecting the nCino Bank Operating System, WPCU saw the vision for a single platform across the institution. Being a cloud system, nCino was seamlessly deployed and operational in the commercial lending organization within six months. WPCU has also implemented the nCino Bank Operating System treasury management application and is currently kicking off projects for online application and small business to further leverage the single platform across the credit union.</w:t>
      </w:r>
    </w:p>
    <w:p>
      <w:pPr>
        <w:spacing w:after="0" w:line="205" w:lineRule="exact"/>
        <w:rPr>
          <w:sz w:val="20"/>
          <w:szCs w:val="20"/>
          <w:color w:val="auto"/>
        </w:rPr>
      </w:pPr>
    </w:p>
    <w:p>
      <w:pPr>
        <w:ind w:left="1420" w:right="22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WPCU used to spend 22 minutes preparing paperwork for signing by the client and have now cut that time by 50% with the digital process.</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Lenders have also seen significant time savings. Previously, WPCU’s lenders spent on average 54 minutes conducting a loan closing, which now takes minimal effort on their part.</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“In the last two years, we have increased our capacity of lending per borrower from $5 million to $15 million. We’ve had a shift in what we can process on a monthly basis. We were processing 30—40 loans a month. Now, for several months running, we’ve had 100 loans in production in a month. Our volume and production is through the roof from a dollar standpoint, with the same core team. That’s from all of the efficiency gains we’ve had through the nCino Bank Operating System.”—Benjamin Miller, Commercial Portfolio Analyst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B-North (Challenger Bank)</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UK-based challenger B-North is based in Manchester, England, and was founded by financial industry veterans with decades of experience working at institutions including HSBC, Santander UK and Metro Bank. B-North was started with the goal of disrupting the £150 billion UK lending market for small and medium</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9"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businesses (“SMEs”). As a brand-new bank, B-North chose the nCino Bank Operating System in early 2019 to deliver a highly efficient and differentiated loan origination experience to its SME clients. Additionally, B-North plans to leverage nCino’s Partner Community functionality to more effectively collaborate and interact with a variety of third parties including brokers, regulators, attorneys and appraisers.</w:t>
      </w:r>
    </w:p>
    <w:p>
      <w:pPr>
        <w:spacing w:after="0" w:line="192" w:lineRule="exact"/>
        <w:rPr>
          <w:sz w:val="20"/>
          <w:szCs w:val="20"/>
          <w:color w:val="auto"/>
        </w:rPr>
      </w:pPr>
    </w:p>
    <w:p>
      <w:pPr>
        <w:ind w:left="1420" w:right="34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nCino Bank Operating System provides a flexible and scalable infrastructure that will allow it to scale and grow its assets and client base, while delivering maximum benefit to its clients.</w:t>
      </w:r>
    </w:p>
    <w:p>
      <w:pPr>
        <w:spacing w:after="0" w:line="197"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nCino’s Partner Community, B-North can grant specific and limited access to nCino functionality and records for external third parties to connect on a single platform for increased transparency, reduced costs and an overall better banking experience for all involved.</w:t>
      </w:r>
    </w:p>
    <w:p>
      <w:pPr>
        <w:spacing w:after="0" w:line="184"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i w:val="1"/>
          <w:iCs w:val="1"/>
          <w:color w:val="auto"/>
        </w:rPr>
        <w:t>“At B-North, we aim to facilitate SME lending, with market-leading technology and lead times, and to give our customers the best mix of the traditional and the modern. nCino has established itself as the world’s premier cloud-based lending, onboarding and account opening platform. Working with nCino early on in our development allows us to tailor our whole business around delivering an engaging and differentiated client experience, and nCino will be the perfect partner for our success in getting these elements right.”—Jonathan Thompson, Founder and CEO</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Salesforce</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From our inception, we built the nCino Bank Operating System on the Salesforce Platform to leverage its global infrastructure, reliability and scalability. Building on the Salesforce Platform has allowed us to benefit from Salesforce’s investment in the continual improvement of the Salesforce Platform. We believe we have a mutually beneficial strategic relationship with Salesforce.</w:t>
      </w:r>
    </w:p>
    <w:p>
      <w:pPr>
        <w:spacing w:after="0" w:line="184"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Salesforce Ventures, an affiliate of Salesforce, made investments in our common stock in January 2014, March 2015, July 2017, January 2018 and September 2019. As of July 31, 2020, Salesforce was our second largest stockholder and beneficially owned 11.8% shares of our common stock. See “Principal and Selling Stockholders” and “Certain Relationships and Related Party Transactions—Transactions with Salesforce” for additional information.</w:t>
      </w:r>
    </w:p>
    <w:p>
      <w:pPr>
        <w:spacing w:after="0" w:line="187"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Pursuant to the Salesforce Agreement, when we sell our client onboarding, loan origination and/or deposit account opening applications,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In addition, under the Salesforce Agreement, we are an authorized reseller of Salesforce’s CRM functionality to certain financial institutions in the United States. Our original agreement with Salesforce was entered into in December 2011. On June 19, 2020, this agreement was superseded and replaced by the Salesforce Agreement which expires on June 19, 2027 unless earlier terminated by either party in the event of the other party’s material breach, bankruptcy, change in control in favor of a direct competitor, or intellectual property infringement. The Salesforce Agreement automatically renews for additional one-year periods thereafter unless notice of termination is provided. See “Certain Relationships and Related Party Transactions—Transactions with Salesforce” for additional information.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Our sales team includes business development representatives, account executives, field sales engineers and customer success managers. This team is responsible for outbound lead generation, driving new business and helping to manage account relationships and renewals, further driving adoption of our solution within and across lines of business. These teams maintain close relationships with existing customers and act as an advisor to each financial institution to help identify and understand their unique needs, challenges, goals and opportunities.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881"/>
        <w:spacing w:after="0" w:line="259" w:lineRule="auto"/>
        <w:rPr>
          <w:sz w:val="20"/>
          <w:szCs w:val="20"/>
          <w:color w:val="auto"/>
        </w:rPr>
      </w:pPr>
      <w:r>
        <w:rPr>
          <w:rFonts w:ascii="Arial" w:cs="Arial" w:eastAsia="Arial" w:hAnsi="Arial"/>
          <w:sz w:val="18"/>
          <w:szCs w:val="18"/>
          <w:color w:val="auto"/>
        </w:rPr>
        <w:t>Our marketing team oversees all aspects of the nCino global brand including public relations, digital marketing, social media, product marketing, graphic design, conferences and events. Our marketing efforts are focused on promoting direct sales, inbound lead generation and brand building. We leverage online and offline marketing channels by sponsoring customer conferences, participating in trade shows, and using webinars, digital marketing and social media.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Success</w:t>
      </w:r>
    </w:p>
    <w:p>
      <w:pPr>
        <w:spacing w:after="0" w:line="22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Once a customer contracts for the nCino Bank Operating System, we either directly or working with SIs, provide configuration and implementation services to assist the customer in the deployment of our solution. Configuration and implementation engagements typically range in duration from three to 18 months, depending on scope. For enterprise financial institutions, we generally work with SIs such as Accenture, Deloitte and PwC. For regional financial institutions, we work with SIs such as West Monroe Partners, and for community banks we work with SIs such as Enforce or we perform configuration and implementation ourselves. Where we work with SIs, we generally field a small team of advisory consultants alongside the SIs to help ensure the success of the engagement.</w:t>
      </w:r>
    </w:p>
    <w:p>
      <w:pPr>
        <w:spacing w:after="0" w:line="19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support our customers with 24/7 access to engineers and other technical support personnel, outcome based support offerings, release management, managed services and also offer technical support via online chat. To help our customers achieve success with the nCino Bank Operating System, we offer in-depth change management workshops, classroom and virtual end user and administrator training, consultative functionality adoption services and best practices. The nCino Customer Success Management team is the customer’s central touch point, whose primary job is to manage the long-term health and success of each customer.</w:t>
      </w:r>
    </w:p>
    <w:p>
      <w:pPr>
        <w:spacing w:after="0" w:line="188"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Over 35,000 of our customers’ employees, representing over 95% of our financial institution customers utilizing our client onboarding, loan origination and/or deposit account opening applications, participate in our online nCino User Community. In this community, users can access over 6,500 product guides and technical documents, engage and share best practices with other users and nCino subject matter experts through over 25 unique user groups, suggest and vote for future product development ideas and access training videos, materials and product certifications.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Our research and development organization is responsible for the design, development and testing of the nCino Bank Operating System. We utilize Agile software development methodologies and industry best practices, such as continuous integration/continuous deployment, automated testing and distributed version control, to develop new functionality and enhance our existing solution. We provide opportunities for innovation through hackathons and new technology pilots, and we encourage customers to participate in our Product Design Programs to provide us with input on our product development roadmap. Our research and development spend was $35.3 million or 25.5% of total revenues in fiscal 2020.</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The primary competition for our solution has historically been point solution vendors and, to a lesser extent, systems internally developed by financial institutions. We believe our ability to provide client onboarding, loan origination, deposit account opening, analytics and AI/ML on a single platform across commercial, small business and retail lines of business, our deep banking domain expertise, our reputation for high-quality professional services and customer support and the culture of our company distinguish us from our competition. We believe our success in growing our business will depend on our ability to demonstrate to financial institutions that our solution provides superior business outcomes to those of third-party vendors or internally developed systems. In this regard, we are likely to be assessed on a number of factors, including:</w:t>
      </w:r>
    </w:p>
    <w:p>
      <w:pPr>
        <w:spacing w:after="0" w:line="191" w:lineRule="exact"/>
        <w:rPr>
          <w:sz w:val="20"/>
          <w:szCs w:val="20"/>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breadth and depth of functionality;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total cost of ownership and return on investment;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cloud-based technology platform and pricing model;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quality of implementation and customer support services;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capability for configurability, integration and scalability;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domain expertise in banking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ability of our solution to support compliance with legal and regulatory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ability to innovate and respond to customer needs quickly;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ability to integrate with third-party applications and systems.</w:t>
      </w:r>
    </w:p>
    <w:p>
      <w:pPr>
        <w:spacing w:after="0" w:line="225" w:lineRule="exact"/>
        <w:rPr>
          <w:sz w:val="20"/>
          <w:szCs w:val="20"/>
          <w:color w:val="auto"/>
        </w:rPr>
      </w:pPr>
    </w:p>
    <w:p>
      <w:pPr>
        <w:ind w:left="120" w:right="180" w:firstLine="881"/>
        <w:spacing w:after="0" w:line="275" w:lineRule="auto"/>
        <w:rPr>
          <w:sz w:val="20"/>
          <w:szCs w:val="20"/>
          <w:color w:val="auto"/>
        </w:rPr>
      </w:pPr>
      <w:r>
        <w:rPr>
          <w:rFonts w:ascii="Arial" w:cs="Arial" w:eastAsia="Arial" w:hAnsi="Arial"/>
          <w:sz w:val="17"/>
          <w:szCs w:val="17"/>
          <w:color w:val="auto"/>
        </w:rPr>
        <w:t>We believe we compete favorably with respect to these factors but we expect competition to increase as existing competitors evolve their offerings and as new companies enter our market. Our ability to remain competitive will depend on our ongoing efforts in research and development, sales and marketing, professional services, customer support and our business operations generally. For additional information, see the section titled “Risk Factors—The markets in which we participate are intensely competitive and highly fragmented, and pricing pressure, new technologies or other competitive dynamics could adversely affect our business and results of operations.”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of our key innovations, protocols, processes and other inventions. We pursue the registration of our trademarks, service marks and domain names in the United States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192"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As of July 31, 2020, we had 12 issued U.S. patents as well as one patent application pending in the U.S. We file patent applications where we believe there to be a strategic technological or business reason to do so. Although we actively attempt to utilize patents to protect our technologies, we believe that none of our patents, individually or in the aggregate, are material to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As of July 31, 2020, we had 991 employees. Of these employees, 860 are based in the United States and 131 are based internationally. None of our employees are represented by a labor union or covered by a collective bargaining agreement. We believe our employee relations are good and we have not experienced any work stoppages.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left="120" w:right="80" w:firstLine="881"/>
        <w:spacing w:after="0" w:line="259" w:lineRule="auto"/>
        <w:rPr>
          <w:sz w:val="20"/>
          <w:szCs w:val="20"/>
          <w:color w:val="auto"/>
        </w:rPr>
      </w:pPr>
      <w:r>
        <w:rPr>
          <w:rFonts w:ascii="Arial" w:cs="Arial" w:eastAsia="Arial" w:hAnsi="Arial"/>
          <w:sz w:val="18"/>
          <w:szCs w:val="18"/>
          <w:color w:val="auto"/>
        </w:rPr>
        <w:t>Our headquarters are located in Wilmington, North Carolina where we occupy facilities encompassing approximately 147,000 square feet. Our leases range in expiration from November 2023 to July 2028 each with a right of renewal. We also have offices in Salt Lake City, London, Sydney, Melbourne, Toronto and Tokyo. All of our offices are leased and we do not own any real property. We believe that our current facilities are adequate to meet our current needs.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business. We are not presently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information concerning our executive officers and directors as of August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3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80" w:type="dxa"/>
            <w:vAlign w:val="bottom"/>
          </w:tcPr>
          <w:p>
            <w:pPr>
              <w:spacing w:after="0"/>
              <w:rPr>
                <w:sz w:val="14"/>
                <w:szCs w:val="14"/>
                <w:color w:val="auto"/>
              </w:rPr>
            </w:pPr>
          </w:p>
        </w:tc>
        <w:tc>
          <w:tcPr>
            <w:tcW w:w="448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Pierre Naudé</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Sean Desmond</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Chief Customer Success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Joshua Glover</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Chief Revenue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Greg Orenstein</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w w:val="91"/>
              </w:rPr>
              <w:t>Chief Corporate Development &amp; Legal Officer and Secretary</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Trisha Price</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Chief Product Officer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David Rudow</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Chief Financial Officer &amp; Treasurer</w:t>
            </w:r>
          </w:p>
        </w:tc>
      </w:tr>
      <w:tr>
        <w:trPr>
          <w:trHeight w:val="418"/>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Steven Collins</w:t>
            </w:r>
            <w:r>
              <w:rPr>
                <w:rFonts w:ascii="Arial" w:cs="Arial" w:eastAsia="Arial" w:hAnsi="Arial"/>
                <w:sz w:val="15"/>
                <w:szCs w:val="15"/>
                <w:color w:val="auto"/>
              </w:rPr>
              <w:t>(1)(3)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Jon Doyle</w:t>
            </w:r>
            <w:r>
              <w:rPr>
                <w:rFonts w:ascii="Arial" w:cs="Arial" w:eastAsia="Arial" w:hAnsi="Arial"/>
                <w:sz w:val="15"/>
                <w:szCs w:val="15"/>
                <w:color w:val="auto"/>
              </w:rPr>
              <w:t>(3)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Jeffrey Horing</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Pam Kilday</w:t>
            </w:r>
            <w:r>
              <w:rPr>
                <w:rFonts w:ascii="Arial" w:cs="Arial" w:eastAsia="Arial" w:hAnsi="Arial"/>
                <w:sz w:val="15"/>
                <w:szCs w:val="15"/>
                <w:color w:val="auto"/>
              </w:rPr>
              <w:t>(1)(2)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Spencer Lake</w:t>
            </w:r>
            <w:r>
              <w:rPr>
                <w:rFonts w:ascii="Arial" w:cs="Arial" w:eastAsia="Arial" w:hAnsi="Arial"/>
                <w:sz w:val="15"/>
                <w:szCs w:val="15"/>
                <w:color w:val="auto"/>
              </w:rPr>
              <w:t>(2)(3)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Jeffrey Lunsford</w:t>
            </w:r>
            <w:r>
              <w:rPr>
                <w:rFonts w:ascii="Arial" w:cs="Arial" w:eastAsia="Arial" w:hAnsi="Arial"/>
                <w:sz w:val="15"/>
                <w:szCs w:val="15"/>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William Ruh</w:t>
            </w:r>
            <w:r>
              <w:rPr>
                <w:rFonts w:ascii="Arial" w:cs="Arial" w:eastAsia="Arial" w:hAnsi="Arial"/>
                <w:sz w:val="15"/>
                <w:szCs w:val="15"/>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8"/>
          <w:szCs w:val="18"/>
          <w:color w:val="auto"/>
        </w:rPr>
        <w:t>Member of our audit committee</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8"/>
          <w:szCs w:val="18"/>
          <w:color w:val="auto"/>
        </w:rPr>
        <w:t>Member of our nominating and governance committee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are brief biographies describing the backgrounds of our executive officers and non-employee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 xml:space="preserve">Pierre Naudé </w:t>
      </w:r>
      <w:r>
        <w:rPr>
          <w:rFonts w:ascii="Arial" w:cs="Arial" w:eastAsia="Arial" w:hAnsi="Arial"/>
          <w:sz w:val="18"/>
          <w:szCs w:val="18"/>
          <w:color w:val="auto"/>
        </w:rPr>
        <w:t>played a key role in the founding of nCino and has served as our Chief Executive Officer, and as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since nCino began operations. From October 2005 to its acquisition in February 2012, Mr. Naudé served as the Divisional President of S1 Corporation. Mr. Naudé served as Vice President and Managing Partner of Unisys, a global information technology company, from January 2004 to October 2005 and as Managing Partner from January 2000 to December 2003. Mr. Naudé holds a B.S. in Finance and Management from Upper Iowa University. As our President and Chief Executive Officer and one of the founders of the Company, we believe Mr. Naudé is qualified to serve on our board of directors due to his experience in all aspects of our business and his ability to provide an insider’s perspective in board discussions about the business and strategic direction of the Company. We believe that his experience gives him unique insights into our opportunities, challenges and operations.</w:t>
      </w:r>
    </w:p>
    <w:p>
      <w:pPr>
        <w:spacing w:after="0" w:line="192"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i w:val="1"/>
          <w:iCs w:val="1"/>
          <w:color w:val="auto"/>
        </w:rPr>
        <w:t xml:space="preserve">Sean Desmond </w:t>
      </w:r>
      <w:r>
        <w:rPr>
          <w:rFonts w:ascii="Arial" w:cs="Arial" w:eastAsia="Arial" w:hAnsi="Arial"/>
          <w:sz w:val="18"/>
          <w:szCs w:val="18"/>
          <w:color w:val="auto"/>
        </w:rPr>
        <w:t>has served as our Chief Customer Success Officer since July 2013. Prior to joining nCino, Mr. Desmond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from February 1999 to June 2013 at Informatica, an enterprise cloud data management provider, most recently serving as Vice President, Global Delivery from January 2012 to June 2013. Prior to that, Mr. Desmond served as a Business Analyst at Platinum Technologies, a database management software company, from August 1996 to January 1999. Mr. Desmond holds a B.B.A. in Business Administration from James Madison University.</w:t>
      </w:r>
    </w:p>
    <w:p>
      <w:pPr>
        <w:spacing w:after="0" w:line="188"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i w:val="1"/>
          <w:iCs w:val="1"/>
          <w:color w:val="auto"/>
        </w:rPr>
        <w:t xml:space="preserve">Josh Glover </w:t>
      </w:r>
      <w:r>
        <w:rPr>
          <w:rFonts w:ascii="Arial" w:cs="Arial" w:eastAsia="Arial" w:hAnsi="Arial"/>
          <w:sz w:val="18"/>
          <w:szCs w:val="18"/>
          <w:color w:val="auto"/>
        </w:rPr>
        <w:t>has served as our Chief Revenue Officer since February 2019 and previously served as Executive Vice President, Americas</w:t>
      </w:r>
      <w:r>
        <w:rPr>
          <w:rFonts w:ascii="Arial" w:cs="Arial" w:eastAsia="Arial" w:hAnsi="Arial"/>
          <w:sz w:val="18"/>
          <w:szCs w:val="18"/>
          <w:i w:val="1"/>
          <w:iCs w:val="1"/>
          <w:color w:val="auto"/>
        </w:rPr>
        <w:t xml:space="preserve"> </w:t>
      </w:r>
      <w:r>
        <w:rPr>
          <w:rFonts w:ascii="Arial" w:cs="Arial" w:eastAsia="Arial" w:hAnsi="Arial"/>
          <w:sz w:val="18"/>
          <w:szCs w:val="18"/>
          <w:color w:val="auto"/>
        </w:rPr>
        <w:t>from February 2017 to February 2019, Senior Vice President, Community</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880"/>
          </w:cols>
          <w:pgMar w:left="320" w:top="459" w:right="6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and Regional Financial Institutions from December 2014 to January 2017 and a member of nCino’s professional services organization from November 2012 to December 2014. Prior to joining nCino, Mr. Glover served as a Relationship Manager at Live Oak Bank, a banking and financial services institution, from January 2012 to November 2012. Mr. Glover is a decorated combat veteran who led Marines throughout four combat deployments during a decade of service as a Marine Corps Special Operations and Infantry Officer. Mr. Glover is a graduate of the U.S. Naval Academy and holds an MBA from Duke University’s Fuqua School of Business.</w:t>
      </w:r>
    </w:p>
    <w:p>
      <w:pPr>
        <w:spacing w:after="0" w:line="188"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i w:val="1"/>
          <w:iCs w:val="1"/>
          <w:color w:val="auto"/>
        </w:rPr>
        <w:t xml:space="preserve">Greg Orenstein </w:t>
      </w:r>
      <w:r>
        <w:rPr>
          <w:rFonts w:ascii="Arial" w:cs="Arial" w:eastAsia="Arial" w:hAnsi="Arial"/>
          <w:sz w:val="17"/>
          <w:szCs w:val="17"/>
          <w:color w:val="auto"/>
        </w:rPr>
        <w:t>has served as our Chief Corporate Development &amp; Legal Officer and Secretary since December 2019 and previously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Executive Vice President Corporate Development, Chief Legal Officer &amp; Secretary from October 2015 to November 2019. Prior to joining nCino, Mr. Orenstein was Of Counsel at the global law firm of DLA Piper from May 2014 to September 2015, and provided consulting services to various organizations, including nCino, from March 2012 to April 2014. From March 2000 until it was acquired in February 2012, Mr. Orenstein held various positions at S1 Corporation, a publicly traded provider of financial services software, most recently serving as Senior Vice President, Corporate Development, Chief Legal Officer and Secretary from April 2007 until February 2012. Mr. Orenstein holds a B.A. in Psychology from the University of Maryland and a J.D. from Emory University School of Law.</w:t>
      </w:r>
    </w:p>
    <w:p>
      <w:pPr>
        <w:spacing w:after="0" w:line="177"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i w:val="1"/>
          <w:iCs w:val="1"/>
          <w:color w:val="auto"/>
        </w:rPr>
        <w:t xml:space="preserve">Trisha Price </w:t>
      </w:r>
      <w:r>
        <w:rPr>
          <w:rFonts w:ascii="Arial" w:cs="Arial" w:eastAsia="Arial" w:hAnsi="Arial"/>
          <w:sz w:val="16"/>
          <w:szCs w:val="16"/>
          <w:color w:val="auto"/>
        </w:rPr>
        <w:t>has served as our Chief Product Officer since August 2019 and previously served as our Executive Vice President,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Engineering from July 2016 to August 2019 and our Vice President, Product Development and Engineering from April 2016 to June 2016. Ms. Price previously held various positions at Primatics Financial, a financial technology company, serving as Head of Global Sales from December 2015 to April 2016, Vice President, West Coast Sales and Operations from November 2014 to December 2015, Vice President, Products from May 2013 to November 2014 and Director, Product Management from August 2009 to May 2013. Ms. Price also held various positions at Fannie Mae, a U.S. government-sponsored financial services company, serving as Director, Securities Accounting from May 2008 to June 2009 and as Senior Project Manager, Accounting Operations from June 2006 to May 2008. Ms. Price holds a B.S. in Mathematics and Mathematics Education from North Carolina State University and an ALM in Extension Studies; Software Engineering from Harvard University.</w:t>
      </w:r>
    </w:p>
    <w:p>
      <w:pPr>
        <w:spacing w:after="0" w:line="16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 xml:space="preserve">David Rudow </w:t>
      </w:r>
      <w:r>
        <w:rPr>
          <w:rFonts w:ascii="Arial" w:cs="Arial" w:eastAsia="Arial" w:hAnsi="Arial"/>
          <w:sz w:val="18"/>
          <w:szCs w:val="18"/>
          <w:color w:val="auto"/>
        </w:rPr>
        <w:t>has served as our Chief Financial Officer since October 2019. Prior to joining nCino, Mr. Rudow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Finance at CentralSquare Technologies, a software company, from January 2018 to October 2019, where he was responsible for finance, treasury, facilities, M&amp;A integration and analytic reporting. Mr. Rudow was a Senior Equity Analyst at Thrivent Asset Management, an asset management firm, from May 2007 to April 2017. Prior to that, Mr. Rudow held Senior Analyst positions at various investment banking and financial services firms, including Piper Jaffray, J.P. Morgan and Diamondback Capital. Mr. Rudow is also a Certified Public Accountant and previously served as a Senior Tax Associate at global accounting and consulting firms KPMG in 1996 and PricewaterhouseCoopers from 1994 to 1996. Mr. Rudow holds a B.S. in Business Administration and Accounting from the University of Illinois, Chicago and an MBA in Finance and Accounting from the University of Chicago, Booth School of Business.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i w:val="1"/>
          <w:iCs w:val="1"/>
          <w:color w:val="auto"/>
        </w:rPr>
        <w:t xml:space="preserve">Steven Collins </w:t>
      </w:r>
      <w:r>
        <w:rPr>
          <w:rFonts w:ascii="Arial" w:cs="Arial" w:eastAsia="Arial" w:hAnsi="Arial"/>
          <w:sz w:val="18"/>
          <w:szCs w:val="18"/>
          <w:color w:val="auto"/>
        </w:rPr>
        <w:t>has served on our board of directors since December 2019. Mr. Collins serves on the board of Sprout Social, a social media</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software solutions company, a position he has held since July 2019. Mr. Collins also serves on the board of a number of private companies. From July 2011 to February 2014, Mr. Collins served as Executive Vice President and Chief Financial Officer of ExactTarget, a provider of digital marketing automation and analytics software and services, which was acquired by Salesforce in 2013. Mr. Collins served as Vice President Finance, Senior Vice President Finance and Accounting, and Senior Vice President and Chief Financial Officer of Navteq, a geographic information systems provider, which was acquired by Nokia in 2008, from July 2003 to June 2011. Mr. Collins holds a B.S. in Industrial Engineering from Iowa State University and an MBA from the University of Pennsylvania Wharton School of Business. We believe Mr. Collins is qualified to serve on our board of directors based on his financial expertise and his experience in the technology industry, including his time spent serving on board of directors of various technology companies.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i w:val="1"/>
          <w:iCs w:val="1"/>
          <w:color w:val="auto"/>
        </w:rPr>
        <w:t xml:space="preserve">Jon Doyle </w:t>
      </w:r>
      <w:r>
        <w:rPr>
          <w:rFonts w:ascii="Arial" w:cs="Arial" w:eastAsia="Arial" w:hAnsi="Arial"/>
          <w:sz w:val="16"/>
          <w:szCs w:val="16"/>
          <w:color w:val="auto"/>
        </w:rPr>
        <w:t>has served on our board of directors since December 2019. Mr. Doyle is currently a member of the board of directors of, and is</w:t>
      </w:r>
      <w:r>
        <w:rPr>
          <w:rFonts w:ascii="Arial" w:cs="Arial" w:eastAsia="Arial" w:hAnsi="Arial"/>
          <w:sz w:val="16"/>
          <w:szCs w:val="16"/>
          <w:i w:val="1"/>
          <w:iCs w:val="1"/>
          <w:color w:val="auto"/>
        </w:rPr>
        <w:t xml:space="preserve"> </w:t>
      </w:r>
      <w:r>
        <w:rPr>
          <w:rFonts w:ascii="Arial" w:cs="Arial" w:eastAsia="Arial" w:hAnsi="Arial"/>
          <w:sz w:val="16"/>
          <w:szCs w:val="16"/>
          <w:color w:val="auto"/>
        </w:rPr>
        <w:t>Vice Chairman, Senior Managing Principal and Head of the Financial Services Group at, Piper Sandler following the merger of Piper Jaffray with Sandler O’Neill + Partners in January 2020. From January 2002 to January 2020, Mr. Doyle served as the Senior Managing Principal of Sandler O’Neill</w:t>
      </w:r>
    </w:p>
    <w:p>
      <w:pPr>
        <w:spacing w:after="0" w:line="2" w:lineRule="exact"/>
        <w:rPr>
          <w:sz w:val="20"/>
          <w:szCs w:val="20"/>
          <w:color w:val="auto"/>
        </w:rPr>
      </w:pPr>
    </w:p>
    <w:p>
      <w:pPr>
        <w:ind w:left="120" w:right="20" w:hanging="4"/>
        <w:spacing w:after="0" w:line="323" w:lineRule="auto"/>
        <w:tabs>
          <w:tab w:leader="none" w:pos="266" w:val="left"/>
        </w:tabs>
        <w:numPr>
          <w:ilvl w:val="0"/>
          <w:numId w:val="55"/>
        </w:numPr>
        <w:rPr>
          <w:rFonts w:ascii="Arial" w:cs="Arial" w:eastAsia="Arial" w:hAnsi="Arial"/>
          <w:sz w:val="16"/>
          <w:szCs w:val="16"/>
          <w:color w:val="auto"/>
        </w:rPr>
      </w:pPr>
      <w:r>
        <w:rPr>
          <w:rFonts w:ascii="Arial" w:cs="Arial" w:eastAsia="Arial" w:hAnsi="Arial"/>
          <w:sz w:val="16"/>
          <w:szCs w:val="16"/>
          <w:color w:val="auto"/>
        </w:rPr>
        <w:t>Partners. Previously, Mr. Doyle held various positions in hardware sales and commercial banking. Mr. Doyle holds a B.S. in Finance from the College of William &amp; Mary. We believe Mr. Doyle is qualified to serve on our board of directors based on his experience in the financial services industry.</w:t>
      </w:r>
    </w:p>
    <w:p>
      <w:pPr>
        <w:spacing w:after="0" w:line="13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i w:val="1"/>
          <w:iCs w:val="1"/>
          <w:color w:val="auto"/>
        </w:rPr>
        <w:t xml:space="preserve">Jeffrey Horing </w:t>
      </w:r>
      <w:r>
        <w:rPr>
          <w:rFonts w:ascii="Arial" w:cs="Arial" w:eastAsia="Arial" w:hAnsi="Arial"/>
          <w:sz w:val="17"/>
          <w:szCs w:val="17"/>
          <w:color w:val="auto"/>
        </w:rPr>
        <w:t>has served on our board of directors since February 2015. Mr. Horing is a Managing Director of Insight Partners, a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and venture capital firm, which he co-founded in 1995. Prior to founding Insight Partners, Mr. Horing held various positions at Warburg Pincus and Goldman Sachs. Mr. Horing serves on the board of Alteryx, Inc., a position he has held since September 2014, as well as the boards of a number of private companies. Mr. Horing is also a member of the University of Pennsylvania’s School of Engineering board of overseers. Mr. Horing holds a B.S. and B.A. from University of Pennsylvania’s Moore School of Engineering and the Wharton School, respectively. He also holds an MBA from the M.I.T. Sloan School of Management. Since 2015, Mr. Horing has served on our board as the designee of Insight Partners pursuant to the Investor Rights Agreement we entered into in connection with Insight Partners’ initial investment in us. Insight Partners’ right to name a director to our board will terminate upon completion of this offering. We believe Mr. Horing is qualified to serve on our board of directors because of his corporate finance and business expertise gained from his experience in the venture capital industry, including his time spent serving on boards of directors of various technology companies.</w:t>
      </w:r>
    </w:p>
    <w:p>
      <w:pPr>
        <w:spacing w:after="0" w:line="185" w:lineRule="exact"/>
        <w:rPr>
          <w:sz w:val="20"/>
          <w:szCs w:val="20"/>
          <w:color w:val="auto"/>
        </w:rPr>
      </w:pPr>
    </w:p>
    <w:p>
      <w:pPr>
        <w:ind w:left="120" w:right="160" w:firstLine="881"/>
        <w:spacing w:after="0" w:line="275" w:lineRule="auto"/>
        <w:rPr>
          <w:sz w:val="20"/>
          <w:szCs w:val="20"/>
          <w:color w:val="auto"/>
        </w:rPr>
      </w:pPr>
      <w:r>
        <w:rPr>
          <w:rFonts w:ascii="Arial" w:cs="Arial" w:eastAsia="Arial" w:hAnsi="Arial"/>
          <w:sz w:val="17"/>
          <w:szCs w:val="17"/>
          <w:i w:val="1"/>
          <w:iCs w:val="1"/>
          <w:color w:val="auto"/>
        </w:rPr>
        <w:t xml:space="preserve">Pam Kilday </w:t>
      </w:r>
      <w:r>
        <w:rPr>
          <w:rFonts w:ascii="Arial" w:cs="Arial" w:eastAsia="Arial" w:hAnsi="Arial"/>
          <w:sz w:val="17"/>
          <w:szCs w:val="17"/>
          <w:color w:val="auto"/>
        </w:rPr>
        <w:t>has served on our board of directors since December 2019. Ms. Kilday previously served as Head of Operations of Truist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(formerly known as SunTrust Bank), from May 2015 to April 2018. Prior to that, Ms. Kilday served as Wholesale Operations Executive of SunTrust from March 2013 to May 2015 and as Wholesale Relationship Executive of SunTrust from January 2012 to March 2013. Ms. Kilday holds a B.S. in Education from Tennessee Technological University and an M.S. from University of Illinois at Chicago. We believe Ms. Kilday is qualified to serve on our board of directors based on her experience in the financial services industry.</w:t>
      </w:r>
    </w:p>
    <w:p>
      <w:pPr>
        <w:spacing w:after="0" w:line="176"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i w:val="1"/>
          <w:iCs w:val="1"/>
          <w:color w:val="auto"/>
        </w:rPr>
        <w:t xml:space="preserve">Spencer Lake </w:t>
      </w:r>
      <w:r>
        <w:rPr>
          <w:rFonts w:ascii="Arial" w:cs="Arial" w:eastAsia="Arial" w:hAnsi="Arial"/>
          <w:sz w:val="17"/>
          <w:szCs w:val="17"/>
          <w:color w:val="auto"/>
        </w:rPr>
        <w:t>has served on our board of directors since April 2017. Mr. Lake is currently a Director at Nivaura, a digital capital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a position he has held since September 2018. Mr. Lake has been a founding partner of Elements Ventures, a UK based financial technology venture capital firm, since May 2017. Mr. Lake also currently serves as a Senior Advisor to the International Capital Market Association, a financial services membership organization, a position he has held since May 2017. Mr. Lake also serves on the board of a number of private companies, including as Vice Chairman of Fenergo, a financial technology company, since July 2016 and Duco, a data quality platform company, since September 2018. Mr. Lake previously held various positions at HSBC, a banking and financial services company, serving as Vice Chairman, Global Banking and Markets and Group General Manager from March 2016 to September 2016, Global Head, Capital Financing from August 2013 to March 2016, Global Co-head, Global Markets from January 2011 to August 2013 and Global Head, Debt Capital Markets and Acquisition Finance from October 2006 to January 2011. Mr. Lake holds a B.B.A. in Finance and Marketing from Suffolk University, as well as an MBA in International Finance from NYU Stern School of Business. We believe Mr. Lake is qualified to serve on our board of directors based on his expertise in the financial services and technology industries.</w:t>
      </w:r>
    </w:p>
    <w:p>
      <w:pPr>
        <w:spacing w:after="0" w:line="182" w:lineRule="exact"/>
        <w:rPr>
          <w:sz w:val="20"/>
          <w:szCs w:val="20"/>
          <w:color w:val="auto"/>
        </w:rPr>
      </w:pPr>
    </w:p>
    <w:p>
      <w:pPr>
        <w:ind w:left="120" w:right="280" w:firstLine="881"/>
        <w:spacing w:after="0" w:line="291" w:lineRule="auto"/>
        <w:rPr>
          <w:sz w:val="20"/>
          <w:szCs w:val="20"/>
          <w:color w:val="auto"/>
        </w:rPr>
      </w:pPr>
      <w:r>
        <w:rPr>
          <w:rFonts w:ascii="Arial" w:cs="Arial" w:eastAsia="Arial" w:hAnsi="Arial"/>
          <w:sz w:val="16"/>
          <w:szCs w:val="16"/>
          <w:i w:val="1"/>
          <w:iCs w:val="1"/>
          <w:color w:val="auto"/>
        </w:rPr>
        <w:t xml:space="preserve">Jeffrey Lunsford </w:t>
      </w:r>
      <w:r>
        <w:rPr>
          <w:rFonts w:ascii="Arial" w:cs="Arial" w:eastAsia="Arial" w:hAnsi="Arial"/>
          <w:sz w:val="16"/>
          <w:szCs w:val="16"/>
          <w:color w:val="auto"/>
        </w:rPr>
        <w:t>has served on our board of directors since inception. Mr. Lunsford is currently Chief Executive Officer and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Tealium, an enterprise software company that offers a trusted customer data orchestration platform, a position he has held since January 2013.</w:t>
      </w:r>
    </w:p>
    <w:p>
      <w:pPr>
        <w:ind w:left="120" w:right="100"/>
        <w:spacing w:after="0" w:line="255" w:lineRule="auto"/>
        <w:rPr>
          <w:sz w:val="20"/>
          <w:szCs w:val="20"/>
          <w:color w:val="auto"/>
        </w:rPr>
      </w:pPr>
      <w:r>
        <w:rPr>
          <w:rFonts w:ascii="Arial" w:cs="Arial" w:eastAsia="Arial" w:hAnsi="Arial"/>
          <w:sz w:val="18"/>
          <w:szCs w:val="18"/>
          <w:color w:val="auto"/>
        </w:rPr>
        <w:t>Mr. Lunsford also serves on the boards of a number of private companies. A former naval officer and aviator, Mr. Lunsford holds a B.S. in Information and Computer Sciences from Georgia Institute of Technology. We believe Mr. Lunsford is qualified to serve on our board of directors based on his experience in the technology industry.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i w:val="1"/>
          <w:iCs w:val="1"/>
          <w:color w:val="auto"/>
        </w:rPr>
        <w:t xml:space="preserve">William Ruh </w:t>
      </w:r>
      <w:r>
        <w:rPr>
          <w:rFonts w:ascii="Arial" w:cs="Arial" w:eastAsia="Arial" w:hAnsi="Arial"/>
          <w:sz w:val="17"/>
          <w:szCs w:val="17"/>
          <w:color w:val="auto"/>
        </w:rPr>
        <w:t>has served on our board of directors since May 2013. Mr. Ruh is currently President at Cairn Capital Management, a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asset management firm, a position he has held since October 2016. Mr. Ruh also currently serves as President of Ruh Advisory, a financial services consulting firm, a position he has held since January 2005. Mr. Ruh previously served as Managing Principal of CCM Capital Opportunities Fund, a financial technology company focused on private equity, from November 2013 to December 2015. Prior to that, Mr. Ruh served as Managing Principal of Castle Creek Capital from January 1994 to November 2013, a private equity firm, which he co-founded. Mr. Ruh also serves on the boards of a number of private companies and as the Chairman of the Board of the U.S. Sailing Foundation and as a board member of the U.S. Sailing Association. Mr. Ruh holds a B.S. in Marine Transportation from the State University of New York Maritime College and an MBA from the Duke University Fuqua School of Business. We believe Mr. Ruh is qualified to serve on our board of directors based on his expertise in the financial services and technology industries.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board of directors consists of eight members and is divided into three classes of directors that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are divided among the three classes as follows:</w:t>
      </w:r>
    </w:p>
    <w:p>
      <w:pPr>
        <w:spacing w:after="0" w:line="214" w:lineRule="exact"/>
        <w:rPr>
          <w:sz w:val="20"/>
          <w:szCs w:val="20"/>
          <w:color w:val="auto"/>
        </w:rPr>
      </w:pPr>
    </w:p>
    <w:p>
      <w:pPr>
        <w:ind w:left="1420" w:right="94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Class I directors are Pierre Naudé, William Ruh and Pam Kilday, and their terms expire at the 2021 annual meeting of stockholders;</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Class II directors are Jeffrey Lunsford and Spencer Lake, and their terms will expire at the 2022 annual meeting of stockholders; and</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Class III directors are Jeffrey Horing, Steven Collins and Jon Doyle, and their terms will expire at the 2023 annual meeting of stockholders.</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certificate of incorporation and bylaws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Under the rules of The Nasdaq Global Select Market, independent directors must comprise a majority of a listed company’s board of directors within a specified period after the completion of its initial public offering. In addition, the rules of The Nasdaq Global Select Market require that, subject to specified exceptions, each member of a listed company’s audit, compensation and nominating and governance committees be independent.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881"/>
        <w:spacing w:after="0" w:line="277"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170"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157"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with the exception of our Chief Executive Officer, Pierre Naudé, each member of our board of directors is an “independent director” as defined under the applicable rules and regulations of the SEC and the listing requirements and rules of The Nasdaq Global Select Market.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Our corporate governance guidelines provide that the roles of chairperson of the board and chief executive officer may be separated or combined. In the event that the roles are combined, our corporate governance guidelines provide for the naming of a Lead Independent Director. Our board of directors has appointed Jeffrey Lunsford to serve as chairperson of the board.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The composition and responsibilities of each of the committees of our board of directors are described below and copies of the charters are available on our website. Members serve on these committees until their resignation or until otherwise determined by our board of directors. Our board of directors may establish other committees as it deems necessary or appropriate from time to time.</w:t>
      </w:r>
    </w:p>
    <w:p>
      <w:pPr>
        <w:spacing w:after="0" w:line="171"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Reference to our website does not constitute incorporation by reference of the information contained at or accessible through our website into this prospectus or the registration statement of which it forms a part.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left="120" w:firstLine="881"/>
        <w:spacing w:after="0" w:line="311" w:lineRule="auto"/>
        <w:rPr>
          <w:sz w:val="20"/>
          <w:szCs w:val="20"/>
          <w:color w:val="auto"/>
        </w:rPr>
      </w:pPr>
      <w:r>
        <w:rPr>
          <w:rFonts w:ascii="Arial" w:cs="Arial" w:eastAsia="Arial" w:hAnsi="Arial"/>
          <w:sz w:val="16"/>
          <w:szCs w:val="16"/>
          <w:color w:val="auto"/>
        </w:rPr>
        <w:t>Our audit committee consists of Steven Collins, Pam Kilday and William Ruh, with Steven Collins serving as the chairperson. Our board of directors has determined that each member of our audit committee is independent within the meaning of Rule 10A-3 under the Exchange Act. Our board of directors has also determined that Steven Collins is an “audit committee financial expert” as defined by the applicable SEC rules.</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audit committee include:</w:t>
      </w:r>
    </w:p>
    <w:p>
      <w:pPr>
        <w:spacing w:after="0" w:line="252" w:lineRule="exact"/>
        <w:rPr>
          <w:sz w:val="20"/>
          <w:szCs w:val="20"/>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engaging and providing for the compensation of the independent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pre-approving audit and permitted non-audit and tax services to be provided to us by the independent public accounting firm;</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252"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establishing procedures for complaints received by us regarding accounting, internal accounting controls or auditing matters, including for the confidential anonymous submission of concerns by our employees, and periodically reviewing such procedures, as well as any significant complaints received, with management;</w:t>
      </w:r>
    </w:p>
    <w:p>
      <w:pPr>
        <w:spacing w:after="0" w:line="210"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the annual audit and the reviews of our quarterly financial statements;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and approve any transaction between us and any related person (as defined by the Securities Act) in accordance with the Company’s related party transaction approval policy;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audit committee operates under a written charter that satisfies the applicable Nasdaq Global Select Market listing standards.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Our compensation committee consists of Pam Kilday, Spencer Lake and Jeffrey Lunsford, with Jeffrey Lunsford serving as the chairperson. Our board of directors has determined that each member of our compensation committee is independent under The Nasdaq Global Select Market listing standards and a “non-employee director” as defined in Rule 16b-3 promulgated under the Exchange Act.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252" w:lineRule="exact"/>
        <w:rPr>
          <w:sz w:val="20"/>
          <w:szCs w:val="20"/>
          <w:color w:val="auto"/>
        </w:rPr>
      </w:pPr>
    </w:p>
    <w:p>
      <w:pPr>
        <w:ind w:left="1420" w:right="100" w:hanging="319"/>
        <w:spacing w:after="0" w:line="342" w:lineRule="auto"/>
        <w:tabs>
          <w:tab w:leader="none" w:pos="14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and recommending policies relating to compensation and benefits of our officers and employees, including reviewing and approving corporate goals and objectives relevant to compensation of the Chief Executive Officer and other senior officers;</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other senior officers in light of those goals and objectives;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setting compensation of the Chief Executive Officer and other senior officers based on such evaluations;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252"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for the Chief Executive Officer and other senior officers, employment agreements, severance agreements, consulting agreements and change in control or termination agreements;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320" w:top="459"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such other matters that are specifically designated to the compensation committee by our board of directors from time to time.</w:t>
      </w:r>
    </w:p>
    <w:p>
      <w:pPr>
        <w:spacing w:after="0" w:line="236"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6"/>
          <w:szCs w:val="16"/>
          <w:color w:val="auto"/>
        </w:rPr>
        <w:t>Our compensation committee operates under a written charter that satisfies the applicable Nasdaq Global Select Market listing standards.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nominating and corporate governance committee consists of Jon Doyle, Steven Collins and Spencer Lake, with Spencer Lake serving as the chairperson. Our board of directors has determined that each member of our nominating and corporate governance committee is independent under the applicable Nasdaq Global Select Market listing standards.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52" w:lineRule="exact"/>
        <w:rPr>
          <w:sz w:val="20"/>
          <w:szCs w:val="20"/>
          <w:color w:val="auto"/>
        </w:rPr>
      </w:pPr>
    </w:p>
    <w:p>
      <w:pPr>
        <w:ind w:left="1420" w:right="10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changes to the size and composition of our board of directors;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252"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procedures to exercise oversight of, and oversee the performance evaluation process of, our board of directors and management;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Nasdaq Global Select Market listing standards.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9"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We have adopted a code of conduct applicable to our principal executive, financial and accounting officers and all persons performing similar functions.</w:t>
      </w:r>
    </w:p>
    <w:p>
      <w:pPr>
        <w:spacing w:after="0" w:line="170"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 copy of our code of conduct is available on our principal corporate website at www.ncino.com. Information contained on our website or connected thereto does not constitute a part of, and is not incorporated by reference into, this prospectus or the registration statement of which it forms a part.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None of the members of our Compensation Committee is or has been an officer or employee of us or any of our subsidiaries. In addition,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During fiscal 2020, none of our non-employee directors received retainers or equity awards with respect to service on our board of directors or any of its committees. Spencer Lake receives compensation for consulting services provided to the Company pursuant to a consulting agreement entered into between the Company and Mr. Lake in fiscal 2018. Under the consulting agreement, Mr. Lake receives an annual consulting fee of $30,000. Additionally, Mr. Lake was granted an option to purchase 16,000 shares of our common stock that vests as to 25% of the shares underlying the option on each of the first four anniversaries of the grant date, and an option to purchase 50,000 shares of our common stock that vests as to 1,250 shares underlying the option for each $1,000,000 of ACV contracted for the Company outside of the Americas between May 1, 2017 and May 1, 2021.</w:t>
      </w:r>
    </w:p>
    <w:p>
      <w:pPr>
        <w:spacing w:after="0" w:line="164"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The board of directors has engaged Radford, an independent executive compensation consultant that is part of the Rewards Solutions practice at Aon plc, to provide advice on non-employee director compensation. Following a review of market data presented by Radford, in February 2020, the board of directors approved the following non-employee director compensation program:</w:t>
      </w:r>
    </w:p>
    <w:p>
      <w:pPr>
        <w:spacing w:after="0" w:line="89" w:lineRule="exact"/>
        <w:rPr>
          <w:sz w:val="20"/>
          <w:szCs w:val="20"/>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23" w:lineRule="exact"/>
        <w:rPr>
          <w:rFonts w:ascii="Arial" w:cs="Arial" w:eastAsia="Arial" w:hAnsi="Arial"/>
          <w:sz w:val="18"/>
          <w:szCs w:val="18"/>
          <w:color w:val="auto"/>
        </w:rPr>
      </w:pPr>
    </w:p>
    <w:p>
      <w:pPr>
        <w:ind w:left="1420" w:right="220" w:hanging="319"/>
        <w:spacing w:after="0" w:line="260" w:lineRule="auto"/>
        <w:tabs>
          <w:tab w:leader="none" w:pos="1420" w:val="left"/>
        </w:tabs>
        <w:numPr>
          <w:ilvl w:val="1"/>
          <w:numId w:val="62"/>
        </w:numPr>
        <w:rPr>
          <w:rFonts w:ascii="Arial" w:cs="Arial" w:eastAsia="Arial" w:hAnsi="Arial"/>
          <w:sz w:val="15"/>
          <w:szCs w:val="15"/>
          <w:color w:val="auto"/>
        </w:rPr>
      </w:pPr>
      <w:r>
        <w:rPr>
          <w:rFonts w:ascii="Arial" w:cs="Arial" w:eastAsia="Arial" w:hAnsi="Arial"/>
          <w:sz w:val="18"/>
          <w:szCs w:val="18"/>
          <w:color w:val="auto"/>
        </w:rPr>
        <w:t>Annual restricted stock unit (“RSU”) award with a grant date fair value of $150,000 granted at each annual meeting of stockholders and vesting on the one-year anniversary of the grant date, subject to the director’s continued service.</w:t>
      </w:r>
    </w:p>
    <w:p>
      <w:pPr>
        <w:spacing w:after="0" w:line="90" w:lineRule="exact"/>
        <w:rPr>
          <w:rFonts w:ascii="Arial" w:cs="Arial" w:eastAsia="Arial" w:hAnsi="Arial"/>
          <w:sz w:val="15"/>
          <w:szCs w:val="15"/>
          <w:color w:val="auto"/>
        </w:rPr>
      </w:pPr>
    </w:p>
    <w:p>
      <w:pPr>
        <w:ind w:left="1420" w:right="620" w:hanging="319"/>
        <w:spacing w:after="0" w:line="342" w:lineRule="auto"/>
        <w:tabs>
          <w:tab w:leader="none" w:pos="1420" w:val="left"/>
        </w:tabs>
        <w:numPr>
          <w:ilvl w:val="1"/>
          <w:numId w:val="62"/>
        </w:numPr>
        <w:rPr>
          <w:rFonts w:ascii="Arial" w:cs="Arial" w:eastAsia="Arial" w:hAnsi="Arial"/>
          <w:sz w:val="13"/>
          <w:szCs w:val="13"/>
          <w:color w:val="auto"/>
        </w:rPr>
      </w:pPr>
      <w:r>
        <w:rPr>
          <w:rFonts w:ascii="Arial" w:cs="Arial" w:eastAsia="Arial" w:hAnsi="Arial"/>
          <w:sz w:val="16"/>
          <w:szCs w:val="16"/>
          <w:color w:val="auto"/>
        </w:rPr>
        <w:t>One-time “initial” RSU award with a grant date fair value of $300,000 granted to new non-employee members of the board of directors and vesting annually over three years, subject to the director’s continued service on the applicable vesting date.</w:t>
      </w:r>
    </w:p>
    <w:p>
      <w:pPr>
        <w:spacing w:after="0" w:line="150" w:lineRule="exact"/>
        <w:rPr>
          <w:rFonts w:ascii="Arial" w:cs="Arial" w:eastAsia="Arial" w:hAnsi="Arial"/>
          <w:sz w:val="13"/>
          <w:szCs w:val="13"/>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Cash Compensation</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1"/>
          <w:numId w:val="62"/>
        </w:numPr>
        <w:rPr>
          <w:rFonts w:ascii="Arial" w:cs="Arial" w:eastAsia="Arial" w:hAnsi="Arial"/>
          <w:sz w:val="15"/>
          <w:szCs w:val="15"/>
          <w:color w:val="auto"/>
        </w:rPr>
      </w:pPr>
      <w:r>
        <w:rPr>
          <w:rFonts w:ascii="Arial" w:cs="Arial" w:eastAsia="Arial" w:hAnsi="Arial"/>
          <w:sz w:val="18"/>
          <w:szCs w:val="18"/>
          <w:color w:val="auto"/>
        </w:rPr>
        <w:t>Annual Cash Retainer – Chair: $55,000; Member: $30,000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2"/>
        </w:numPr>
        <w:rPr>
          <w:rFonts w:ascii="Arial" w:cs="Arial" w:eastAsia="Arial" w:hAnsi="Arial"/>
          <w:sz w:val="15"/>
          <w:szCs w:val="15"/>
          <w:color w:val="auto"/>
        </w:rPr>
      </w:pPr>
      <w:r>
        <w:rPr>
          <w:rFonts w:ascii="Arial" w:cs="Arial" w:eastAsia="Arial" w:hAnsi="Arial"/>
          <w:sz w:val="18"/>
          <w:szCs w:val="18"/>
          <w:color w:val="auto"/>
        </w:rPr>
        <w:t>Audit Committee – Chair: $20,000; Member: $10,000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2"/>
        </w:numPr>
        <w:rPr>
          <w:rFonts w:ascii="Arial" w:cs="Arial" w:eastAsia="Arial" w:hAnsi="Arial"/>
          <w:sz w:val="15"/>
          <w:szCs w:val="15"/>
          <w:color w:val="auto"/>
        </w:rPr>
      </w:pPr>
      <w:r>
        <w:rPr>
          <w:rFonts w:ascii="Arial" w:cs="Arial" w:eastAsia="Arial" w:hAnsi="Arial"/>
          <w:sz w:val="18"/>
          <w:szCs w:val="18"/>
          <w:color w:val="auto"/>
        </w:rPr>
        <w:t>Compensation Committee – Chair: $12,000; Member: $6,000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2"/>
        </w:numPr>
        <w:rPr>
          <w:rFonts w:ascii="Arial" w:cs="Arial" w:eastAsia="Arial" w:hAnsi="Arial"/>
          <w:sz w:val="15"/>
          <w:szCs w:val="15"/>
          <w:color w:val="auto"/>
        </w:rPr>
      </w:pPr>
      <w:r>
        <w:rPr>
          <w:rFonts w:ascii="Arial" w:cs="Arial" w:eastAsia="Arial" w:hAnsi="Arial"/>
          <w:sz w:val="18"/>
          <w:szCs w:val="18"/>
          <w:color w:val="auto"/>
        </w:rPr>
        <w:t>Nominating &amp; Corporate Governance Committee – Chair: $8,000; Member: $4,000</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Pursuant to the non-employee director compensation program described above, on June 8, 2020, the board of directors granted equity awards to the non-employee directors as follows: Messrs. Collins and Doyle and Ms. Kilday received initial RSU awards with a grant date fair value equal to $300,000; and each of the Company’s non-employee directors received a pro-rated annual RSU award with a grant date fair value of $50,000, reflecting service from February 2020 to May 2020, and an annual equity award with a grant date fair value of $150,000. The initial RSU award granted to Messrs. Collins and Doyle and Ms. Kilday will vest annually over three years from February 1, 2020, the annual equity grant awarded to each of the non-employee directors will vest on the one-year anniversary of the grant date, and the pro-rated equity award granted to each of the non-employee directors vested upon the occurrence of our IPO, in each case, subject to the director’s continued service on the applicable vesting date.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2020 Director Compensation Table</w:t>
      </w:r>
    </w:p>
    <w:p>
      <w:pPr>
        <w:spacing w:after="0" w:line="225"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The following table sets forth information for the fiscal year ended January 31, 2020 regarding the compensation awarded to, earned by or paid to our non-employee directors. As noted above, the only compensation received by our non-employee directors in fiscal 2020 was the consulting fee paid to Mr. Lake pursuant to the consulting agreement.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Fees</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Earned</w:t>
            </w: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or Paid</w:t>
            </w: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900" w:type="dxa"/>
            <w:vAlign w:val="bottom"/>
            <w:vMerge w:val="restart"/>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in Cash</w:t>
            </w: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Awards</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900" w:type="dxa"/>
            <w:vAlign w:val="bottom"/>
            <w:vMerge w:val="continue"/>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6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4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Steven Collins</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Jon Doyle</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Horing</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Pam Kilday</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Lake</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30,000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30,000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Jeffrey Lunsford</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Ruh</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00" w:hanging="424"/>
        <w:spacing w:after="0" w:line="258" w:lineRule="auto"/>
        <w:tabs>
          <w:tab w:leader="none" w:pos="540" w:val="left"/>
        </w:tabs>
        <w:numPr>
          <w:ilvl w:val="0"/>
          <w:numId w:val="63"/>
        </w:numPr>
        <w:rPr>
          <w:rFonts w:ascii="Arial" w:cs="Arial" w:eastAsia="Arial" w:hAnsi="Arial"/>
          <w:sz w:val="15"/>
          <w:szCs w:val="15"/>
          <w:color w:val="auto"/>
        </w:rPr>
      </w:pPr>
      <w:r>
        <w:rPr>
          <w:rFonts w:ascii="Arial" w:cs="Arial" w:eastAsia="Arial" w:hAnsi="Arial"/>
          <w:sz w:val="18"/>
          <w:szCs w:val="18"/>
          <w:color w:val="auto"/>
        </w:rPr>
        <w:t>As of January 31, 2020, Mr. Lake held outstanding options with respect to 66,000 shares of our common stock. As of such date, none of our other non-employee directors held outstanding stock options or any other equity awards with respect to the Company.</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63"/>
        </w:numPr>
        <w:rPr>
          <w:rFonts w:ascii="Arial" w:cs="Arial" w:eastAsia="Arial" w:hAnsi="Arial"/>
          <w:sz w:val="15"/>
          <w:szCs w:val="15"/>
          <w:color w:val="auto"/>
        </w:rPr>
      </w:pPr>
      <w:r>
        <w:rPr>
          <w:rFonts w:ascii="Arial" w:cs="Arial" w:eastAsia="Arial" w:hAnsi="Arial"/>
          <w:sz w:val="18"/>
          <w:szCs w:val="18"/>
          <w:color w:val="auto"/>
        </w:rPr>
        <w:t>Consists of consulting fees received by Mr. Lake pursuant to his consulting agreement with the Company.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Director and Officer Liability and Indemnification</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will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p>
      <w:pPr>
        <w:spacing w:after="0" w:line="211" w:lineRule="exact"/>
        <w:rPr>
          <w:sz w:val="20"/>
          <w:szCs w:val="20"/>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our bylaws require us to indemnify our directors and officers, and allow us to indemnify other employees and agents, to the fullest extent permitted by the DGCL. Subject to certain limitations and limited exceptions, our amended and restated certificate of incorporation also requires us to advance expenses incurred by our directors and officers for the defense of any action for which indemnification is required or permitted.</w:t>
      </w:r>
    </w:p>
    <w:p>
      <w:pPr>
        <w:spacing w:after="0" w:line="187" w:lineRule="exact"/>
        <w:rPr>
          <w:sz w:val="20"/>
          <w:szCs w:val="20"/>
          <w:color w:val="auto"/>
        </w:rPr>
      </w:pPr>
    </w:p>
    <w:p>
      <w:pPr>
        <w:jc w:val="both"/>
        <w:ind w:left="120" w:right="220" w:firstLine="881"/>
        <w:spacing w:after="0" w:line="342" w:lineRule="auto"/>
        <w:rPr>
          <w:sz w:val="20"/>
          <w:szCs w:val="20"/>
          <w:color w:val="auto"/>
        </w:rPr>
      </w:pPr>
      <w:r>
        <w:rPr>
          <w:rFonts w:ascii="Arial" w:cs="Arial" w:eastAsia="Arial" w:hAnsi="Arial"/>
          <w:sz w:val="16"/>
          <w:szCs w:val="16"/>
          <w:color w:val="auto"/>
        </w:rPr>
        <w:t>We have entered into indemnification agreements with each of our directors and our executive officers. These agreements provide that we will indemnify each of our directors and such officers to the fullest extent permitted by law and our amended and restated certificate of incorporation.</w:t>
      </w:r>
    </w:p>
    <w:p>
      <w:pPr>
        <w:spacing w:after="0" w:line="124"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We believe that these provisions in our amended and restated certificate of incorporation, bylaws and indemnification agreements are necessary to attract and retain qualified persons such as directors, officers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key employees. We also maintain directors’ and officers’ liability insurance. The limitation of liability and indemnification provisions in our amended and restated certificate of incorporation and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The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external audit function.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320" w:top="459"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Our current executive compensation program is intended to align executive compensation with our business objectives and to enable us to attract, retain and reward executive officers who contribute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fiscal 2020, the material elements of our executive compensation program were base salary, an annual cash bonus, and restricted stock units (“RSUs”).</w:t>
      </w:r>
    </w:p>
    <w:p>
      <w:pPr>
        <w:spacing w:after="0" w:line="192"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We expect that our executive compensation program will evolve to reflect our status as a newly publicly-traded company, while still supporting our overall business and compensation objectives. The board of directors established a compensation committee in December 2019 to oversee our executive compensation program, which had previously been overseen by our board of directors. In addition, we have retained Radford, an independent executive compensation consultant that is part of the Rewards Solutions practice at Aon plc, to help advise on our executive compensation program. This section provides a discussion of the compensation paid or awarded to our President &amp; Chief Executive Officer and our two other most highly compensated executive officers serving as of January 31, 2020, the end of fiscal 2020. We refer to these individuals as our “named executive officers.” For fiscal 2020, our named executive officers were:</w:t>
      </w:r>
    </w:p>
    <w:p>
      <w:pPr>
        <w:spacing w:after="0" w:line="204" w:lineRule="exact"/>
        <w:rPr>
          <w:sz w:val="20"/>
          <w:szCs w:val="20"/>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Pierre Naudé, President &amp;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Josh Glover, Chief Revenue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David Rudow, Chief Financial Officer &amp; Treasurer.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Fiscal 2020 Summary Compensation Table for the base salary amounts received by each named executive officer in fiscal 2020.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board of directors at the beginning of each fiscal year.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The payment of awards under the fiscal 2020 annual cash bonus program applicable to the named executive officers was subject to the attainment of goals relating to net ACV, determined based on bookings from contracts entered into during the fiscal year, and the Company’s total non-GAAP gross margin. Under the fiscal 2020 annual cash bonus program, net ACV was weighted 70%, and non-GAAP gross margin was weighted 30%.</w:t>
      </w:r>
    </w:p>
    <w:p>
      <w:pPr>
        <w:spacing w:after="0" w:line="187"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fiscal 2020 bonus targets for Messrs. Naudé, Glover and Rudow were $206,250, $205,000 and $37,973, respectively, with Mr. Rudow’s bonus target representing a pro-rated target opportunity in light of his October 2019 hire date. Based on our fiscal 2020 performance, the Company awarded payouts under our annual cash bonus program in a total payout of 103.7% of the target bonus opportunity. Please see the “Non-Equity Incentive Plan Compensation” column in the Fiscal 2020 Summary Compensation Table for the amount of the annual bonus paid to each named executive officer with respect to fiscal 2020.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To further align the interests of our executive officers with the interests of our stockholders and to further focus our executive officers on our long-term performance, we provide equity compensation to our executive officers. In fiscal 2020, the equity component of our executive compensation program was delivered in the form of RSUs, with grants to each of Messrs. Naudé, Glover and Rudow made with respect to 100,000, 50,000 and 100,000 shares of our common stock, respectively. These RSUs vest on the later of the satisfaction of a service-based vesting condition and the occurrence of a liquidity event, the latter of which was met upon the completion of our IPO. The service-based vesting condition is satisfied with respect to 25% of the shares subject to the RSU award on each of the first four anniversaries of the vesting commencement date, subject to the executive officer’s continued employment through the applicable service-based vesting date. In addition, on June 8, 2020, each of Messrs. Naudé, Glover and Rudow received an RSU grant with respect to 128,053, 54,375 and 54,375 shares of our common stock, respectively. Similar to the fiscal 2020 RSU grants, these RSUs vest in 25% annual increments over four years, subject to the executive officer’s continued service through the applicable service-based vesting date.</w:t>
      </w:r>
    </w:p>
    <w:p>
      <w:pPr>
        <w:spacing w:after="0" w:line="19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Please see “Outstanding Equity Awards at Fiscal 2020 Year-End” for a summary of the outstanding equity awards held by each of the named executive officers as of fiscal 2020 year-end.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2020 Summary Compensation Table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shows information regarding the compensation of our named executive officers for services performed in fiscal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Salary</w:t>
            </w: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40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7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2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Pierre Naudé, President &amp; Chief Executive Officer</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412,500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2,175,000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213,881</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11,676</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2,813,057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David Rudow, Chief Financial Officer &amp; Treasurer</w:t>
            </w:r>
            <w:r>
              <w:rPr>
                <w:rFonts w:ascii="Arial" w:cs="Arial" w:eastAsia="Arial" w:hAnsi="Arial"/>
                <w:sz w:val="15"/>
                <w:szCs w:val="15"/>
                <w:color w:val="auto"/>
              </w:rPr>
              <w:t>(4)</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75,072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2,175,000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39,378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115,986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2,405,436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 Glover, Chief Revenue Officer</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205,000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1,087,500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212,585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6,887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1,511,972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40" w:hanging="424"/>
        <w:spacing w:after="0" w:line="271"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7"/>
          <w:szCs w:val="17"/>
          <w:color w:val="auto"/>
        </w:rPr>
        <w:t>The amounts reported represent the grant date fair value of RSUs calculated in accordance with Financial Accounting Standards Board Accounting Standards Codification Topic 718, Compensation-Stock Compensation, excluding the effect of estimated forfeitures. The grant date fair value was calculated based on the fair market value of a share of Company common stock as of the grant date.</w:t>
      </w:r>
    </w:p>
    <w:p>
      <w:pPr>
        <w:ind w:left="540" w:right="160" w:hanging="424"/>
        <w:spacing w:after="0" w:line="255" w:lineRule="auto"/>
        <w:tabs>
          <w:tab w:leader="none" w:pos="540" w:val="left"/>
        </w:tabs>
        <w:numPr>
          <w:ilvl w:val="0"/>
          <w:numId w:val="66"/>
        </w:numPr>
        <w:rPr>
          <w:rFonts w:ascii="Arial" w:cs="Arial" w:eastAsia="Arial" w:hAnsi="Arial"/>
          <w:sz w:val="15"/>
          <w:szCs w:val="15"/>
          <w:color w:val="auto"/>
        </w:rPr>
      </w:pPr>
      <w:r>
        <w:rPr>
          <w:rFonts w:ascii="Arial" w:cs="Arial" w:eastAsia="Arial" w:hAnsi="Arial"/>
          <w:sz w:val="18"/>
          <w:szCs w:val="18"/>
          <w:color w:val="auto"/>
        </w:rPr>
        <w:t>The amounts reported represent payouts under the Company’s annual cash bonus program based on performance with respect to goals relating to net ACV, determined based on bookings from contracts entered into during the fiscal year, weighted 70%, and the Company’s total non-GAAP gross margin, weighted 30%.</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40" w:hanging="424"/>
        <w:spacing w:after="0" w:line="291" w:lineRule="auto"/>
        <w:tabs>
          <w:tab w:leader="none" w:pos="540" w:val="left"/>
        </w:tabs>
        <w:numPr>
          <w:ilvl w:val="0"/>
          <w:numId w:val="67"/>
        </w:numPr>
        <w:rPr>
          <w:rFonts w:ascii="Arial" w:cs="Arial" w:eastAsia="Arial" w:hAnsi="Arial"/>
          <w:sz w:val="13"/>
          <w:szCs w:val="13"/>
          <w:color w:val="auto"/>
        </w:rPr>
      </w:pPr>
      <w:r>
        <w:rPr>
          <w:rFonts w:ascii="Arial" w:cs="Arial" w:eastAsia="Arial" w:hAnsi="Arial"/>
          <w:sz w:val="16"/>
          <w:szCs w:val="16"/>
          <w:color w:val="auto"/>
        </w:rPr>
        <w:t>The amounts reported in this column consist of (i) a cell phone allowance for each of the named executive officers, (ii) matching contributions under the Company’s 401(k) plan for Messrs. Naudé and Glover, (iii) life insurance premiums paid by the Company for Mr. Naudé and</w:t>
      </w:r>
    </w:p>
    <w:p>
      <w:pPr>
        <w:ind w:left="540" w:right="920"/>
        <w:spacing w:after="0" w:line="250" w:lineRule="auto"/>
        <w:rPr>
          <w:sz w:val="20"/>
          <w:szCs w:val="20"/>
          <w:color w:val="auto"/>
        </w:rPr>
      </w:pPr>
      <w:r>
        <w:rPr>
          <w:rFonts w:ascii="Arial" w:cs="Arial" w:eastAsia="Arial" w:hAnsi="Arial"/>
          <w:sz w:val="18"/>
          <w:szCs w:val="18"/>
          <w:color w:val="auto"/>
        </w:rPr>
        <w:t>(iv) relocation benefits paid to Mr. Rudow in connection with his commencement of employment with the Company, including related tax-reimbursements of $40,386.</w:t>
      </w:r>
    </w:p>
    <w:p>
      <w:pPr>
        <w:ind w:left="540" w:right="820" w:hanging="424"/>
        <w:spacing w:after="0" w:line="260" w:lineRule="auto"/>
        <w:tabs>
          <w:tab w:leader="none" w:pos="540" w:val="left"/>
        </w:tabs>
        <w:numPr>
          <w:ilvl w:val="0"/>
          <w:numId w:val="68"/>
        </w:numPr>
        <w:rPr>
          <w:rFonts w:ascii="Arial" w:cs="Arial" w:eastAsia="Arial" w:hAnsi="Arial"/>
          <w:sz w:val="15"/>
          <w:szCs w:val="15"/>
          <w:color w:val="auto"/>
        </w:rPr>
      </w:pPr>
      <w:r>
        <w:rPr>
          <w:rFonts w:ascii="Arial" w:cs="Arial" w:eastAsia="Arial" w:hAnsi="Arial"/>
          <w:sz w:val="18"/>
          <w:szCs w:val="18"/>
          <w:color w:val="auto"/>
        </w:rPr>
        <w:t>Mr. Rudow commenced employment with the Company in October 2019 and, accordingly, the amounts reported for his base salary and non-equity incentive compensation reflect pro-rated compensation for his service from his hire date.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9"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following table presents information regarding the outstanding equity awards held by each of the named executive officers as of January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Incentive</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Incentive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Unearned</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Units or</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Rights</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That Have</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Grant</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0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 (#)</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 (#)</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Unearned</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Vested</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Date</w:t>
            </w: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Options (#)</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Pierre Naudé</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2/1/2017</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89"/>
              </w:rPr>
              <w:t>500,000</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79"/>
              </w:rPr>
              <w:t>4.98</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2/1/2027</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23"/>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23"/>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8/15/2019</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2,150,000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Rudow</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11/1/2019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2,150,000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Josh Glover</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8/1/2015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49,678</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2.45</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8/1/2025</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2/1/2017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80,134</w:t>
            </w: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160,267</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4.98</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2/1/2027</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8/15/2019</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480" w:hanging="424"/>
        <w:spacing w:after="0" w:line="258" w:lineRule="auto"/>
        <w:tabs>
          <w:tab w:leader="none" w:pos="540" w:val="left"/>
        </w:tabs>
        <w:numPr>
          <w:ilvl w:val="0"/>
          <w:numId w:val="69"/>
        </w:numPr>
        <w:rPr>
          <w:rFonts w:ascii="Arial" w:cs="Arial" w:eastAsia="Arial" w:hAnsi="Arial"/>
          <w:sz w:val="15"/>
          <w:szCs w:val="15"/>
          <w:color w:val="auto"/>
        </w:rPr>
      </w:pPr>
      <w:r>
        <w:rPr>
          <w:rFonts w:ascii="Arial" w:cs="Arial" w:eastAsia="Arial" w:hAnsi="Arial"/>
          <w:sz w:val="18"/>
          <w:szCs w:val="18"/>
          <w:color w:val="auto"/>
        </w:rPr>
        <w:t>These options vest in 25% annual increments commencing on the first anniversary of the grant date, subject to the named executive officer’s continued employment through the applicable vesting date.</w:t>
      </w:r>
    </w:p>
    <w:p>
      <w:pPr>
        <w:spacing w:after="0" w:line="1" w:lineRule="exact"/>
        <w:rPr>
          <w:rFonts w:ascii="Arial" w:cs="Arial" w:eastAsia="Arial" w:hAnsi="Arial"/>
          <w:sz w:val="15"/>
          <w:szCs w:val="15"/>
          <w:color w:val="auto"/>
        </w:rPr>
      </w:pPr>
    </w:p>
    <w:p>
      <w:pPr>
        <w:ind w:left="540" w:right="40" w:hanging="424"/>
        <w:spacing w:after="0" w:line="250" w:lineRule="auto"/>
        <w:tabs>
          <w:tab w:leader="none" w:pos="540" w:val="left"/>
        </w:tabs>
        <w:numPr>
          <w:ilvl w:val="0"/>
          <w:numId w:val="69"/>
        </w:numPr>
        <w:rPr>
          <w:rFonts w:ascii="Arial" w:cs="Arial" w:eastAsia="Arial" w:hAnsi="Arial"/>
          <w:sz w:val="15"/>
          <w:szCs w:val="15"/>
          <w:color w:val="auto"/>
        </w:rPr>
      </w:pPr>
      <w:r>
        <w:rPr>
          <w:rFonts w:ascii="Arial" w:cs="Arial" w:eastAsia="Arial" w:hAnsi="Arial"/>
          <w:sz w:val="18"/>
          <w:szCs w:val="18"/>
          <w:color w:val="auto"/>
        </w:rPr>
        <w:t>These RSUs vest with respect to 25% of the shares subject to the RSU award on each of the first four anniversaries of the grant date, subject to the executive officer’s continued employment through the applicable service-based vesting date.</w:t>
      </w:r>
    </w:p>
    <w:p>
      <w:pPr>
        <w:ind w:left="540" w:right="160" w:hanging="424"/>
        <w:spacing w:after="0" w:line="255" w:lineRule="auto"/>
        <w:tabs>
          <w:tab w:leader="none" w:pos="540" w:val="left"/>
        </w:tabs>
        <w:numPr>
          <w:ilvl w:val="0"/>
          <w:numId w:val="69"/>
        </w:numPr>
        <w:rPr>
          <w:rFonts w:ascii="Arial" w:cs="Arial" w:eastAsia="Arial" w:hAnsi="Arial"/>
          <w:sz w:val="15"/>
          <w:szCs w:val="15"/>
          <w:color w:val="auto"/>
        </w:rPr>
      </w:pPr>
      <w:r>
        <w:rPr>
          <w:rFonts w:ascii="Arial" w:cs="Arial" w:eastAsia="Arial" w:hAnsi="Arial"/>
          <w:sz w:val="18"/>
          <w:szCs w:val="18"/>
          <w:color w:val="auto"/>
        </w:rPr>
        <w:t>The Company’s equity is not publicly traded and, therefore, there is no ascertainable public market value for the Company’s common stock as of January 31, 2020. For purposes of this table, the market value at year-end is calculated based on the valuation of fair market value of a share of Company common stock as of February 1, 2020.</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Narrative Disclosure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225"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During fiscal 2020, each of Mr. Naudé and Mr. Rudow was party to an employment arrangement that included benefits payable upon certain qualifying terminations of employment. As of fiscal 2020 year-end, Mr. Glover was not subject to an employment or severance agreement entitling him to severance benefits upon a termination of employment.</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Under the employment agreements in effect during fiscal 2020, in the event the employment of either Mr. Naudé and Mr. Rudow had been terminated due to death or disability, the named executive officer would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have been entitled to base salary through the date of termination and a pro-rata annual bonus for the year of termination, determined based on actual performance through the date of termination and budgeted performance thereafter, and pro-rated for the number of days employed by the Company during the year. Subject to the executive’s execution of a release of claims in favor of the Company, in the event of a termination by the Company without cause or by the executive due to good reason, each as defined in the applicable employment agreement, Mr. Naudé and Mr. Rudow would have been entitled to (i) severance payments over a specified severance period equal to the base salary the named executive officer would have received during such severance period, (ii) a pro-rata annual bonus for the year of termination, determined based on actual performance through the date of termination and budgeted performance thereafter, and pro-rated for the number of days employed by the Company during the year and (iii) reimbursements for healthcare continuation coverage during the severance period, subject to earlier termination in the event the executive officer became eligible for health coverage from a subsequent employer or the executive officer’s spouse. The severance period under the employment agreements in effect during fiscal 2020 equaled 12 months for Mr. Naudé and six months for Mr. Rudow.</w:t>
      </w:r>
    </w:p>
    <w:p>
      <w:pPr>
        <w:spacing w:after="0" w:line="168"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We entered into employment agreements with each of our named executive officers, the material terms of which are set forth below. The severance terms were determined after a review of market data presented by Radford. This summary is not a complete description of all provisions of the employment agreements and is qualified in its entirety by reference to the employment agreements, which are filed as exhibits to the registration statement of which this prospectus is a part.</w:t>
      </w:r>
    </w:p>
    <w:p>
      <w:pPr>
        <w:spacing w:after="0" w:line="187"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The employment agreements set forth each named executive officer’s current base salary and annual incentive target opportunity, with base salaries of $430,000, $280,000 and $230,000, and target opportunities as a percentage of base salary of 100%, 50% and 100% for Messrs. Naude, Rudow and Glover, respectively. Under the employment agreements, in the event of a termination of employment due to the named executive officer’s death or disability, the named executive officer will be entitled to a pro-rated bonus for the year of termination, based on actual performance and pro-rated for the portion of the year the named executive officer was employed. Subject to the named executive officer’s execution of a release of claims in favor of the Company, in the event of a termination by the Company without cause or by the executive due to good reason prior to or more than one year following a change in control, each as defined in the applicable employment agreement, each named executive officer would be entitled to</w:t>
      </w:r>
    </w:p>
    <w:p>
      <w:pPr>
        <w:spacing w:after="0" w:line="2" w:lineRule="exact"/>
        <w:rPr>
          <w:sz w:val="20"/>
          <w:szCs w:val="20"/>
          <w:color w:val="auto"/>
        </w:rPr>
      </w:pPr>
    </w:p>
    <w:p>
      <w:pPr>
        <w:ind w:left="120" w:right="40" w:hanging="4"/>
        <w:spacing w:after="0" w:line="267" w:lineRule="auto"/>
        <w:tabs>
          <w:tab w:leader="none" w:pos="335" w:val="left"/>
        </w:tabs>
        <w:numPr>
          <w:ilvl w:val="0"/>
          <w:numId w:val="70"/>
        </w:numPr>
        <w:rPr>
          <w:rFonts w:ascii="Arial" w:cs="Arial" w:eastAsia="Arial" w:hAnsi="Arial"/>
          <w:sz w:val="17"/>
          <w:szCs w:val="17"/>
          <w:color w:val="auto"/>
        </w:rPr>
      </w:pPr>
      <w:r>
        <w:rPr>
          <w:rFonts w:ascii="Arial" w:cs="Arial" w:eastAsia="Arial" w:hAnsi="Arial"/>
          <w:sz w:val="17"/>
          <w:szCs w:val="17"/>
          <w:color w:val="auto"/>
        </w:rPr>
        <w:t>severance payments over a specified severance period equal to the base salary the named executive officer would have received during such severance period, (ii) a pro-rated bonus for the year of termination, based on actual performance and pro-rated for the portion of the year the named executive officer was employed, and (iii) reimbursements for healthcare continuation coverage during the severance period, subject to earlier termination in the event the executive officer becomes eligible for alternative health coverage. The severance period is 12 months for Mr. Naudé and six months for Messrs. Rudow and Glover. If the named executive officer experiences a termination of employment on or during the one-year period following a change in control of the Company, then, in lieu of the benefits set forth above, the executive will receive a severance payment equal to a severance multiple multiplied by the sum of the executive’s annual base salary and target bonus, and the healthcare continuation coverage described above will be extended to up to 18 months for Mr. Naudé and 12 months for Messrs. Rudow and Glover. The severance multiple for a termination of employment within one-year following a change in control of the Company is one and a half for Mr. Naudé and one for Messrs. Rudow and Glover. In addition, under the terms of the employment agreements, if the payments and benefits to a named executive officer under his employment agreement or another plan, arrangement or agreement would subject the named executive officer to the excise tax imposed by Section 4999 of the Internal Revenue Code, then such payments will be reduced by the minimum amount necessary to avoid such excise tax, but only if such reduction will result in the named executive officer receiving a higher net after-tax amount. This offering will not constitute a change in control for purposes of the employment agreements with our named executive officers.</w:t>
      </w:r>
    </w:p>
    <w:p>
      <w:pPr>
        <w:spacing w:after="0" w:line="181"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addition, consistent with the terms of certain of the Company’s pre-existing compensation arrangements, in the event that either (i) the named executive officer is employed by the Company as of a change in control of the Company or (ii) the employment of the named executive officer is terminated by the Company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without cause or by the executive due to good reason within six months prior to such change in control, any equity awards held by the named executive officer as of the effective date of the new employment agreements described above will vest upon such change in control. For equity awards granted following the effective date of the new employment agreements and unless otherwise provided for in an award agreement, such equity awards will vest in the event of a termination of employment by the Company without cause or due to good reason on or within one year following a change in control.</w:t>
      </w:r>
    </w:p>
    <w:p>
      <w:pPr>
        <w:spacing w:after="0" w:line="157"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At the time the named executive officer entered into the above-described employment agreement with the Company, the named executive officer also entered into a non-disclosure, restrictive covenants and assignment of invention agreement with restrictive covenants relating to non-competition and non-solicitation of customers and employees, during employment and for 12 months following a termination of employment for Mr. Naudé and for six months following a termination of employment for Messrs. Rudow and Glover.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The Company maintains a tax-qualified 401(k) savings plan which allows participants to defer eligible compensation up to the maximum amount allowed under Internal Revenue Service guidelines and provides for a discretionary matching contributions by the Company. In fiscal 2020, the Company matched each employee’s contributions at 40% up to 6% of eligible compensation, up to applicable Internal Revenue Service limits.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2019, our board of directors adopted the nCino, Inc. 2019 Incentive Plan. Our board of directors adopted, and our current stockholders approved, an amended and restated 2019 Incentive Plan to, among other items, increase the available shares under the 2019 Incentive Plan. The following summary describes the material terms of the 2019 Incentive Plan, as amended and restated. This summary is not a complete description of all provisions of the 2019 Incentive Plan and is qualified in its entirety by reference to the 2019 Incentive Plan, which is filed as an exhibit to the registration statement of which this prospectus is a part.</w:t>
      </w:r>
    </w:p>
    <w:p>
      <w:pPr>
        <w:spacing w:after="0" w:line="188"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purpose of the 2019 Incentive Plan is to advance the interests of the Company and its stockholders by providing an incentive to attract, retain and reward persons performing services to the Company and its participating affiliates and subsidiaries and by motivating such persons to contribute to the growth and profitability of the Company and its participating affiliates and subsidiaries. The 2019 Incentive Plan provides for the grant of incentive stock options (within the meaning of Section 422 of the Code), nonstatutory stock options, stock appreciation rights, restricted stock awards, restricted stock units, performance shares, performance units, cash-based awards and other-stock based awards. Only directors, officers, employees and consultants who provide services to us, or to any parent, subsidiary or affiliate of ours, are eligible to receive such awards.</w:t>
      </w:r>
    </w:p>
    <w:p>
      <w:pPr>
        <w:spacing w:after="0" w:line="164"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i w:val="1"/>
          <w:iCs w:val="1"/>
          <w:color w:val="auto"/>
        </w:rPr>
        <w:t xml:space="preserve">Stock Subject to the Plan. </w:t>
      </w:r>
      <w:r>
        <w:rPr>
          <w:rFonts w:ascii="Arial" w:cs="Arial" w:eastAsia="Arial" w:hAnsi="Arial"/>
          <w:sz w:val="17"/>
          <w:szCs w:val="17"/>
          <w:color w:val="auto"/>
        </w:rPr>
        <w:t>The number of shares reserved for issuance under the 2019 Incentive Plan is 15,250,000, plus an annual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added on the first day of each fiscal year, beginning with the fiscal year ending January 31, 2022, and continuing until, and including, the fiscal year ending January 31, 2031. The annual increase will be equal to the lesser of (i) 5% of the number of shares issued and outstanding as of the January 31st of the immediately preceding fiscal year and (ii) an amount determined by the Board of Directors. Up to 15,250,000 shares of our common stock that may be issued under the 2019 Incentive Plan may be issued in satisfaction of incentive stock option awards.</w:t>
      </w:r>
    </w:p>
    <w:p>
      <w:pPr>
        <w:spacing w:after="0" w:line="176"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To the extent an equity award granted under the 2019 Incentive Plan or the Company’s predecessor plan expires or otherwise terminates without having been exercised or settled in full, or is settled in cash, or the shares underlying an award are forfeited or repurchased by the Company for a price not exceeding the participant’s purchase price, the shares subject to such award will become available for future grant under the 2019 Incentive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Plan. In addition, to the extent shares subject to an award are withheld to satisfy a participant’s tax withholding obligation upon the exercise or settlement of such award, are not issued upon the net settlement of a stock appreciation right or are withheld to pay the exercise price of a stock option, such shares will become available for future grant under the 2019 Incentive Plan.</w:t>
      </w:r>
    </w:p>
    <w:p>
      <w:pPr>
        <w:spacing w:after="0" w:line="184"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As of July 31, 2020, our officers, employees, directors and consultants hold outstanding stock options granted under the 2019 Incentive Plan for the purchase of up to 142,400 shares of our common stock, with 17,500 of those options vested as of such date at a weighted-average grant date fair value of $20.00 per share, and outstanding RSUs with respect to 2,041,093 shares of our common stock.</w:t>
      </w:r>
    </w:p>
    <w:p>
      <w:pPr>
        <w:spacing w:after="0" w:line="16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compensation committee or a committee designated by our board of directors administers the 2019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If at any time our board of directors has not designated a committee to administer the 2019 Incentive Plan, then the plan will be administered by our board of directors. Subject to the terms of the 2019 Incentive Plan, our compensation committee has the authority to determine the eligibility for awards and the terms, conditions, and restrictions, including vesting terms, the number of shares subject to an award, and any performance goals applicable to awards made under the 2019 Incentive Plan. The compensation committee also has the authority, subject to the terms of the 2019 Incentive Plan, to construe and interpret the 2019 Incentive Plan and awards.</w:t>
      </w:r>
    </w:p>
    <w:p>
      <w:pPr>
        <w:spacing w:after="0" w:line="192"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Officers, employees, directors and consultants of the Company and our subsidiaries are eligible to participate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if selected for participation by the plan administrator.</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i w:val="1"/>
          <w:iCs w:val="1"/>
          <w:color w:val="auto"/>
        </w:rPr>
        <w:t xml:space="preserve">Non-Employee Director Compensation Limit. </w:t>
      </w:r>
      <w:r>
        <w:rPr>
          <w:rFonts w:ascii="Arial" w:cs="Arial" w:eastAsia="Arial" w:hAnsi="Arial"/>
          <w:sz w:val="18"/>
          <w:szCs w:val="18"/>
          <w:color w:val="auto"/>
        </w:rPr>
        <w:t>Under the terms of the 2019 Incentive Plan, the aggregate value of cash compensation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of shares that may be awarded or granted during any fiscal year of the Company to any non-employee director will not exceed $750,000; provided, however, that the director compensation limit will be multiplied by two for the first fiscal year in which a non-employee director commences service on the board of directors.</w:t>
      </w:r>
    </w:p>
    <w:p>
      <w:pPr>
        <w:spacing w:after="0" w:line="187"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Our compensation committee may grant incentive stock options, nonstatutory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stock appreciation rights under the 2019 Incentive Plan, provided that incentive stock options are granted only to employees of the Company, a parent corporation or a subsidiary corporation. The exercise price of stock options and stock appreciation rights under the 2019 Incentive Plan will be determined by the compensation committee, but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2019 Incentive Plan, the compensation committee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compensation committee permits otherwise), as specified in the award agreement. The 2019 Incentive Plan prohibits the repricing of options and stock appreciation rights without stockholder approval.</w:t>
      </w:r>
    </w:p>
    <w:p>
      <w:pPr>
        <w:spacing w:after="0" w:line="172"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Our compensation committee will decide at the time of grant whether an award will be in the form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or other stock awards. The compensation committee will determine the terms of the awards, including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with any dividends subject to the same vesting conditions as the underlying restricted stock. The recipient of restricted stock units will not have voting rights, but his or her award agreement may provide for the receipt of dividend equivalents. Any dividend equivalents paid with respect to restricted stock units will be subject to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same vesting conditions as the underlying awards. Our compensation committee may grant other stock awards that are based on or related to shares of our common stock, such as awards of shares of common stock granted as bonus and not subject to any vesting conditions or stock equivalent units.</w:t>
      </w:r>
    </w:p>
    <w:p>
      <w:pPr>
        <w:spacing w:after="0" w:line="124"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compensation committee will determine the value of any performance award, the vesting and nature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and whether the award is denominated or settled in cash or in shares of our common stock. The performance goals applicable to a particular award will be determined by our compensation committee at the time of grant.</w:t>
      </w:r>
    </w:p>
    <w:p>
      <w:pPr>
        <w:spacing w:after="0" w:line="184"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The 2019 Incentive Plan does not allow awards to be transferred other than by will or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following the participant’s death, or as permitted by the compensation committee subject to the applicable limitations of the Securities Act and the Code.</w:t>
      </w:r>
    </w:p>
    <w:p>
      <w:pPr>
        <w:spacing w:after="0" w:line="184"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If any change is made in our common stock by means of an equity restructuring, such as a stock dividend,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spinoff, rights offering or recapitalization through an extraordinary cash dividend, appropriate and proportionate adjustments will be made in the number, class and price of shares subject to each outstanding award and the number and kind of shares subject to the plan.</w:t>
      </w:r>
    </w:p>
    <w:p>
      <w:pPr>
        <w:spacing w:after="0" w:line="165" w:lineRule="exact"/>
        <w:rPr>
          <w:sz w:val="20"/>
          <w:szCs w:val="20"/>
          <w:color w:val="auto"/>
        </w:rPr>
      </w:pPr>
    </w:p>
    <w:p>
      <w:pPr>
        <w:jc w:val="both"/>
        <w:ind w:left="120" w:right="160" w:firstLine="881"/>
        <w:spacing w:after="0" w:line="311"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we experience a change in control under the terms of the 2019 Incentive Plan, the plan administrator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the cash settlement, vesting, assumption or substitution of outstanding awards, except that awards held by our non-employee directors will vest and become exercisable in full upon such change in control. This offering will not constitute a change in control under the plan.</w:t>
      </w:r>
    </w:p>
    <w:p>
      <w:pPr>
        <w:spacing w:after="0" w:line="14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Awards granted under the 2019 Incentive Plan and any cash payment or shares of our common stock delivered pursuant to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may be subject to forfeiture, recovery, or other action pursuant to the applicable award agreement or any clawback or recoupment policy that we may adopt</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under the terms of the 2019 Incentive Plan, if the Company is required to prepare an accounting restatement due to the material noncompliance of the Company, as a result of misconduct, with any financial reporting requirement under the securities laws, any participant who knowingly or through gross negligence engaged in misconduct, or who knowingly or through gross negligence failed to prevent misconduct, will reimburse the Company for (i) the amount of any payment in settlement of an award received by such participant during the 12-month period following the first public issuance or filing with the SEC of the financial document embodying such financial reporting requirement and (ii) any profits realized by such participant from the sale of securities of the Company during such 12-month period.</w:t>
      </w:r>
    </w:p>
    <w:p>
      <w:pPr>
        <w:spacing w:after="0" w:line="178"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i w:val="1"/>
          <w:iCs w:val="1"/>
          <w:color w:val="auto"/>
        </w:rPr>
        <w:t xml:space="preserve">New Plan Benefits. </w:t>
      </w:r>
      <w:r>
        <w:rPr>
          <w:rFonts w:ascii="Arial" w:cs="Arial" w:eastAsia="Arial" w:hAnsi="Arial"/>
          <w:sz w:val="17"/>
          <w:szCs w:val="17"/>
          <w:color w:val="auto"/>
        </w:rPr>
        <w:t>The compensation committee has the discretion to grant awards under the 2019 Incentive Plan, and therefore it is not</w:t>
      </w:r>
      <w:r>
        <w:rPr>
          <w:rFonts w:ascii="Arial" w:cs="Arial" w:eastAsia="Arial" w:hAnsi="Arial"/>
          <w:sz w:val="17"/>
          <w:szCs w:val="17"/>
          <w:i w:val="1"/>
          <w:iCs w:val="1"/>
          <w:color w:val="auto"/>
        </w:rPr>
        <w:t xml:space="preserve"> </w:t>
      </w:r>
      <w:r>
        <w:rPr>
          <w:rFonts w:ascii="Arial" w:cs="Arial" w:eastAsia="Arial" w:hAnsi="Arial"/>
          <w:sz w:val="17"/>
          <w:szCs w:val="17"/>
          <w:color w:val="auto"/>
        </w:rPr>
        <w:t>possible at the time of filing of this prospectus to determine future awards that will be received by our named executive officers or others under the 2019 Incentive Plan. Only directors, employees and consultants are eligible for consideration to participate in the 2019 Incentive Plan.</w:t>
      </w:r>
    </w:p>
    <w:p>
      <w:pPr>
        <w:spacing w:after="0" w:line="16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compensation committee has the authority to amend or terminate the 2019 Incentive Plan,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required by law or stock exchange rules.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2014 Omnibus Stock Ownership and Long-Term Incentive Plan</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The following is a description of the material terms of the nCino, Inc. 2014 Omnibus Stock Ownership and Long-Term Incentive Plan (the “2014 Incentive Plan”). The summary below does not contain a complete description of all provisions of the 2014 Incentive Plan and is qualified in its entirety by reference to the plan, a copy of which will be filed as an exhibit to the registration statement of which this prospectus forms a part. See “Where You Can Find Additional Information.”</w:t>
      </w:r>
    </w:p>
    <w:p>
      <w:pPr>
        <w:spacing w:after="0" w:line="18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2014 Incentive Plan was replaced by the 2019 Incentive Plan. The 2014 Incentive Plan governs outstanding awards granted prior to the adoption of the 2019 Incentive Plan, but no further awards will be granted pursuant to the 2014 Incentive Plan.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79"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Under the 2014 Incentive Plan, 15,025,666 shares of our common stock were reserved for issuance,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for stock splits and other similar changes in capitalization. As of July 31, 2020, our employees, directors and consultants hold outstanding stock options granted under the 2014 Incentive Plan for the purchase of up to 7,321,694 shares of our common stock, with 5,542,247 of those options vested as of such date. No other equity awards are outstanding under the 2014 Incentive Plan as of such date.</w:t>
      </w:r>
    </w:p>
    <w:p>
      <w:pPr>
        <w:spacing w:after="0" w:line="171" w:lineRule="exact"/>
        <w:rPr>
          <w:sz w:val="20"/>
          <w:szCs w:val="20"/>
          <w:color w:val="auto"/>
        </w:rPr>
      </w:pPr>
    </w:p>
    <w:p>
      <w:pPr>
        <w:ind w:left="120" w:right="220" w:firstLine="881"/>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our board of directors, administers the 2014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provisions of our 2014 Incentive Plan, the plan administrator has the authority to, among other things, construe and interpret the 2014 Incentive Plan and all awards granted thereunder, to define the terms used in the 2014 Incentive Plan and award agreements thereunder, to prescribe, amend and rescind the rules, regulations and policies relating to the 2014 Incentive Plan and to make all determinations necessary or advisable for the administration of the 2014 Incentive Plan.</w:t>
      </w:r>
    </w:p>
    <w:p>
      <w:pPr>
        <w:spacing w:after="0" w:line="188"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our subsidiaries were eligible to participate in the 2014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if selected for participation by the plan administrator.</w:t>
      </w:r>
    </w:p>
    <w:p>
      <w:pPr>
        <w:spacing w:after="0" w:line="170"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i w:val="1"/>
          <w:iCs w:val="1"/>
          <w:color w:val="auto"/>
        </w:rPr>
        <w:t xml:space="preserve">Types and Terms of Awards. </w:t>
      </w:r>
      <w:r>
        <w:rPr>
          <w:rFonts w:ascii="Arial" w:cs="Arial" w:eastAsia="Arial" w:hAnsi="Arial"/>
          <w:sz w:val="18"/>
          <w:szCs w:val="18"/>
          <w:color w:val="auto"/>
        </w:rPr>
        <w:t>Under the 2014 Incentive Plan, we were authorized to grant stock options, restricted stock, long-term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units, and stock appreciation rights.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7"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The terms relating to exercise, cancellation, other disposition, forfeiture, satisfaction of performance measures,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restriction periods or termination of performance periods upon termination of employment with or service to the Company, whether by reason of disability, cause, retirement, death or other termination, are set forth in the underlying award agreement approved by the plan administrator.</w:t>
      </w:r>
    </w:p>
    <w:p>
      <w:pPr>
        <w:spacing w:after="0" w:line="149"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Under the terms of the 2014 Incentive Plan, the number of shares subject to outstanding awards and the exercise or</w:t>
      </w:r>
      <w:r>
        <w:rPr>
          <w:rFonts w:ascii="Arial" w:cs="Arial" w:eastAsia="Arial" w:hAnsi="Arial"/>
          <w:sz w:val="18"/>
          <w:szCs w:val="18"/>
          <w:i w:val="1"/>
          <w:iCs w:val="1"/>
          <w:color w:val="auto"/>
        </w:rPr>
        <w:t xml:space="preserve"> </w:t>
      </w:r>
      <w:r>
        <w:rPr>
          <w:rFonts w:ascii="Arial" w:cs="Arial" w:eastAsia="Arial" w:hAnsi="Arial"/>
          <w:sz w:val="18"/>
          <w:szCs w:val="18"/>
          <w:color w:val="auto"/>
        </w:rPr>
        <w:t>base prices of those awards are subject to adjustment in the event of certain changes in our capital structure, reorganizations and other extraordinary events.</w:t>
      </w:r>
    </w:p>
    <w:p>
      <w:pPr>
        <w:spacing w:after="0" w:line="184"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we experience a change in control under the terms of the 2014 Incentive Plan, the plan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vesting of outstanding options. This offering will not constitute a change in control under the plan.</w:t>
      </w:r>
    </w:p>
    <w:p>
      <w:pPr>
        <w:spacing w:after="0" w:line="170" w:lineRule="exact"/>
        <w:rPr>
          <w:sz w:val="20"/>
          <w:szCs w:val="20"/>
          <w:color w:val="auto"/>
        </w:rPr>
      </w:pPr>
    </w:p>
    <w:p>
      <w:pPr>
        <w:ind w:left="120" w:right="460" w:firstLine="881"/>
        <w:spacing w:after="0" w:line="31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of directors may, at any time, amend or terminate the 2014 Incentive Plan as it shall deem</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subject to stockholder approval for changes to the number of shares available under the 2014 Incentive Plan or changes to the eligibility provisions. No amendment may adversely affect the rights of a holder of an outstanding award without the consent of such holder.</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120" w:right="60" w:firstLine="881"/>
        <w:spacing w:after="0" w:line="342" w:lineRule="auto"/>
        <w:rPr>
          <w:sz w:val="20"/>
          <w:szCs w:val="20"/>
          <w:color w:val="auto"/>
        </w:rPr>
      </w:pPr>
      <w:r>
        <w:rPr>
          <w:rFonts w:ascii="Arial" w:cs="Arial" w:eastAsia="Arial" w:hAnsi="Arial"/>
          <w:sz w:val="16"/>
          <w:szCs w:val="16"/>
          <w:color w:val="auto"/>
        </w:rPr>
        <w:t>The following summary describes the material terms of the ESPP. This summary is not a complete description of all provisions of the ESPP and is qualified in its entirety by reference to the ESPP, which is filed as an exhibit to the registration statement of which this prospectus is a part.</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board of directors adopted, and our stockholders approved the ESPP.</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purpose of the ESPP is to provide eligible employees of the Company and participating subsidiaries with a convenient means of acquiring an equity interest in the Company through payroll deductions or other contributions in order to enhance such employees’ sense of participation in the affairs of the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Generally, all of our employees (including those of our consolidated subsidiaries, other than those subsidiaries excluded from participation by our board of directors or compensation committee) are eligible to participate in the ESPP. The ESPP permits employees to purchase our common stock through payroll deductions during six-month offering periods, with the offering periods beginning each January 1 and July 1, or such other period or date determined by the compensation committee.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Under the terms of the ESPP, the purchase price per share with respect to an offering period will equal the lesser of</w:t>
      </w:r>
    </w:p>
    <w:p>
      <w:pPr>
        <w:spacing w:after="0" w:line="4" w:lineRule="exact"/>
        <w:rPr>
          <w:sz w:val="20"/>
          <w:szCs w:val="20"/>
          <w:color w:val="auto"/>
        </w:rPr>
      </w:pPr>
    </w:p>
    <w:p>
      <w:pPr>
        <w:ind w:left="120" w:hanging="4"/>
        <w:spacing w:after="0" w:line="288" w:lineRule="auto"/>
        <w:tabs>
          <w:tab w:leader="none" w:pos="3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85% of the fair market value of a share of our common stock on the first business day of such offering period and (ii) 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No participant may purchase more than 5,000 shares of our common stock during any offering period. Neither payroll deductions credited to a participant’s account nor any rights with regard to the exercise of an option or to receive shares under the ESPP may be assigned, transferred, pledged or otherwise disposed of in any way (other than by will, the laws of descent and distribution or pursuant to a valid beneficiary designation in the event of a participant’s death).</w:t>
      </w:r>
    </w:p>
    <w:p>
      <w:pPr>
        <w:spacing w:after="0" w:line="16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1,800,000 shares of our common stock, subject to adjustment for stock splits, stock dividends or other changes in our capital stock, initially may be issued under the ESPP. Subject to the adjustment provisions contained in the ESPP, the maximum number of shares of our common stock available under the ESPP will automatically increase on the first day of each fiscal year, beginning with the fiscal year ending January 31, 2022 and continuing until the fiscal year ended January 31, 2031, by an amount equal to the lesser of (i) 1% of the shares of our common stock issued and outstanding on January 31 of the immediately preceding fiscal year, (ii) 1,800,000 shares of our common stock or (iii) an amount determined by our board of directors. The number of shares available under the ESPP will be subject to adjustment in the event of certain changes in our capital structure, reorganizations and other extraordinary events.</w:t>
      </w:r>
    </w:p>
    <w:p>
      <w:pPr>
        <w:spacing w:after="0" w:line="195"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Under the terms of the ESPP, in the event of the proposed dissolution or liquidation of the Company, any offering period then in progress will terminate immediately prior to the consummation of such proposed dissolution or liquidation, unless otherwise provided by the board of directors, and the board of directors may either provide for the purchase of shares as of the date on which such offering period terminates or return to each participant the payroll deductions credited to such participant’s account. In the event of a proposed sale of all or substantially all of the assets of the Company, or the merger of the Company with or into another corporation, each outstanding option under the ESPP will be assumed or an equivalent option substituted by the successor corporation or a parent or subsidiary of the successor corporation, unless the board of directors determines, in lieu of such assumption or substitution, to either terminate all outstanding options and return to each participant the payroll deductions credited to such participant’s account or to provide for the offering period in progress to end on a date prior to the consummation of such sale or merger.</w:t>
      </w:r>
    </w:p>
    <w:p>
      <w:pPr>
        <w:spacing w:after="0" w:line="16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ESPP is administered by the compensation committee. The compensation committee has the discretionary authority to do everything necessary and appropriate to administer the ESPP, including, without limitation, determining the time and frequency of granting options, the duration of offering periods, the terms and conditions of the options and the number of shares subject to each option, and interpreting the provisions of the ESPP.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to the compensation arrangements discussed in the section titled “Executive Compensation,” we describe below the transactions since February 1, 2017 to which we have been a participant, in which the amount involved in the transaction exceeds or will exceed $120,000 and in which any of our directors, executive officers or holders of more than 5% of our capital stock, or any immediate family member of, or person sharing the household with, any of these individuals, had or will have a direct or indirect material interest.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sold shares of our common stock to an entity affiliated with Salesforce in July 2017, January 2018 and September 2019 for an aggregate purchase price of approximately $72.0 million. In January 2018, one of our stockholders also sold shares of our common stock to an entity affiliated with Salesforce for a purchase price of approximately $9.0 million.</w:t>
      </w:r>
    </w:p>
    <w:p>
      <w:pPr>
        <w:spacing w:after="0" w:line="184"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addition, certain holders of more than 5% of our capital stock acquired shares from selling stockholders, including certain of our directors and officers, pursuant to the tender offer as described below under “—Tender Offer.”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Offer</w:t>
      </w:r>
    </w:p>
    <w:p>
      <w:pPr>
        <w:spacing w:after="0" w:line="22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Shares of our common stock have been the subject of two tender offers. The first was conducted by Insight Partners in January 2017 (the “January 2017 Tender Offer”) and the second was conducted by each of Insight Partners, investors for which Wellington Management Company LLC serves as investment adviser (“Wellington Investors”) and Bessemer Venture Partners (“Bessemer”) in July 2018 (the “July 2018 Tender Offer”). In connection with the January 2017 Tender Offer, Insight Partners acquired 23,796,085 shares of our common stock from selling stockholders, including certain of our directors and officers, at a purchase price of $8.00 per share, and in connection with the July 2018 Tender Offer, Wellington Investors acquired 3,125,000 shares of our common stock, Bessemer acquired 1,562,500 shares of our common stock and Insight Partners acquired 551,382 shares of our common stock from selling stockholders, including certain of our directors and officers, at a purchase price of $16.00 per share.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We are party to an amended and restated investors’ rights agreement, dated as February 12, 2015, as amended (“IRA”), which provides, among other things, that such investors party thereto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Salesforce</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Salesforce, a software solution provider for the Company, is also an equity holder in the Company. Total costs related to the Salesforce Agreement were approximately $9.5 million, $15.4 million and $22.8 million for fiscal years 2018, 2019 and 2020, and $10.4 million and $16.2 million for the six months ended July 31, 2019 and 2020, respectively. For a description of the Salesforce Agreement and other information, see “Risk Factors— Fundamental elements of the nCino Bank Operating System are built on the Salesforce Platform and we rely on our agreement with Salesforce to provide our solution to our customers” and “Business—Our Relationship with Salesforce”.</w:t>
      </w:r>
    </w:p>
    <w:p>
      <w:pPr>
        <w:spacing w:after="0" w:line="176"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Company also purchases services from Salesforce to assist in managing the sales cycle, customer relationship management and other internal business functions. Total payments to Salesforce for these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were $0.5 million, $0.8 million and $1.1 million for fiscal years 2018, 2019 and 2020, respectively, and $0.7 million and $1.1 million were in prepaid expenses and other current assets for fiscal 2019 and 2020, respectively. Accounts payable to Salesforce were $2.1 million and $3.3 million and were included in accounts payable, related parties for fiscal 2019 and 2020, respectively.</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Total payments to Salesforce for these services were $0.5 million and $0.6 million for the six months ended July 31, 2019 and 2020, respectively, and $0.5 million were in prepaid expenses and other current assets as of July 31, 2020. Accounts payable to Salesforce were $4.0 million at July 31, 2020, and were included in accounts payable, related parties.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 with an Immediate Family Member of our President, Chief Executive Officer and Director</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Corinne Naudé is a Sales Account Executive and the daughter-in-law of Pierre Naudé, our President and Chief Executive Officer. Her total compensation for fiscal 2019 and 2020 was approximately $248,204 and $436,521, respectively.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 and Executive Officers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and our bylaws require us to indemnify our directors to the fullest extent not prohibited by DGCL. Subject to very limited exceptions, our bylaws also require us to advance expenses incurred by our directors and officers. For more information regarding these agreements, see the section titled “Management— Limitations on Director and Officer Liability and Indemnification.”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August 31, 2020:</w:t>
      </w:r>
    </w:p>
    <w:p>
      <w:pPr>
        <w:spacing w:after="0" w:line="264" w:lineRule="exact"/>
        <w:rPr>
          <w:sz w:val="20"/>
          <w:szCs w:val="20"/>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 days of August 31, 2020, through the exercise of any option, warrant or other right. In computing the percentage beneficial ownership of a person, common stock not outstanding and subject to options, warrants or other rights held by that person that are currently exercisable or exercisable within 60 days of August 31, 2020 are deemed outstanding for purposes of calculating the percentage ownership of that person, but are not deemed outstanding for computing the percentage ownership of any other person. Subject to the foregoing, percentage of beneficial ownership is based on 91,149,949 shares of common stock outstanding as of August 31, 2020.</w:t>
      </w:r>
    </w:p>
    <w:p>
      <w:pPr>
        <w:spacing w:after="0" w:line="177"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nCino, Inc., 6770 Parker Farm Drive, Wilmington, North Carolina 28405.</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Percentage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After this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Shares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Shares to</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Shares</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(Option to</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920" w:type="dxa"/>
            <w:vAlign w:val="bottom"/>
            <w:gridSpan w:val="2"/>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Owned</w:t>
            </w:r>
          </w:p>
        </w:tc>
        <w:tc>
          <w:tcPr>
            <w:tcW w:w="860" w:type="dxa"/>
            <w:vAlign w:val="bottom"/>
            <w:gridSpan w:val="2"/>
            <w:vMerge w:val="continue"/>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Owned</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Prior to</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After</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Subject to</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540" w:type="dxa"/>
            <w:vAlign w:val="bottom"/>
            <w:vMerge w:val="restart"/>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Prior to this</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this</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Sold in this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this</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Option to</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After this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Offering</w:t>
            </w: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Offering</w:t>
            </w:r>
          </w:p>
        </w:tc>
        <w:tc>
          <w:tcPr>
            <w:tcW w:w="92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Offering</w:t>
            </w: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9"/>
              </w:rPr>
              <w:t>Offering</w:t>
            </w:r>
          </w:p>
        </w:tc>
        <w:tc>
          <w:tcPr>
            <w:tcW w:w="8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Purchase</w:t>
            </w: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Offering</w:t>
            </w:r>
          </w:p>
        </w:tc>
        <w:tc>
          <w:tcPr>
            <w:tcW w:w="9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Directors and Named Executive Officers:</w:t>
            </w: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line="216" w:lineRule="exact"/>
              <w:rPr>
                <w:sz w:val="20"/>
                <w:szCs w:val="20"/>
                <w:color w:val="auto"/>
              </w:rPr>
            </w:pPr>
            <w:r>
              <w:rPr>
                <w:rFonts w:ascii="Arial" w:cs="Arial" w:eastAsia="Arial" w:hAnsi="Arial"/>
                <w:sz w:val="15"/>
                <w:szCs w:val="15"/>
                <w:color w:val="auto"/>
              </w:rPr>
              <w:t>Pierre Naudé</w:t>
            </w:r>
            <w:r>
              <w:rPr>
                <w:rFonts w:ascii="Arial" w:cs="Arial" w:eastAsia="Arial" w:hAnsi="Arial"/>
                <w:sz w:val="25"/>
                <w:szCs w:val="25"/>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6"/>
                <w:szCs w:val="16"/>
                <w:color w:val="auto"/>
              </w:rPr>
              <w:t>1,290,000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260,000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1,030,000</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Rudow</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line="216" w:lineRule="exact"/>
              <w:rPr>
                <w:sz w:val="20"/>
                <w:szCs w:val="20"/>
                <w:color w:val="auto"/>
              </w:rPr>
            </w:pPr>
            <w:r>
              <w:rPr>
                <w:rFonts w:ascii="Arial" w:cs="Arial" w:eastAsia="Arial" w:hAnsi="Arial"/>
                <w:sz w:val="15"/>
                <w:szCs w:val="15"/>
                <w:color w:val="auto"/>
              </w:rPr>
              <w:t>Josh Glover</w:t>
            </w:r>
            <w:r>
              <w:rPr>
                <w:rFonts w:ascii="Arial" w:cs="Arial" w:eastAsia="Arial" w:hAnsi="Arial"/>
                <w:sz w:val="25"/>
                <w:szCs w:val="25"/>
                <w:color w:val="auto"/>
                <w:vertAlign w:val="superscript"/>
              </w:rPr>
              <w:t>(2)</w:t>
            </w:r>
          </w:p>
        </w:tc>
        <w:tc>
          <w:tcPr>
            <w:tcW w:w="760" w:type="dxa"/>
            <w:vAlign w:val="bottom"/>
          </w:tcPr>
          <w:p>
            <w:pPr>
              <w:jc w:val="right"/>
              <w:spacing w:after="0"/>
              <w:rPr>
                <w:sz w:val="20"/>
                <w:szCs w:val="20"/>
                <w:color w:val="auto"/>
              </w:rPr>
            </w:pPr>
            <w:r>
              <w:rPr>
                <w:rFonts w:ascii="Arial" w:cs="Arial" w:eastAsia="Arial" w:hAnsi="Arial"/>
                <w:sz w:val="16"/>
                <w:szCs w:val="16"/>
                <w:color w:val="auto"/>
              </w:rPr>
              <w:t>292,482</w:t>
            </w:r>
          </w:p>
        </w:tc>
        <w:tc>
          <w:tcPr>
            <w:tcW w:w="2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69,637</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222,845</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Steven Collins</w:t>
            </w:r>
            <w:r>
              <w:rPr>
                <w:rFonts w:ascii="Arial" w:cs="Arial" w:eastAsia="Arial" w:hAnsi="Arial"/>
                <w:sz w:val="25"/>
                <w:szCs w:val="25"/>
                <w:color w:val="auto"/>
                <w:vertAlign w:val="superscript"/>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34,750</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line="216" w:lineRule="exact"/>
              <w:rPr>
                <w:sz w:val="20"/>
                <w:szCs w:val="20"/>
                <w:color w:val="auto"/>
              </w:rPr>
            </w:pPr>
            <w:r>
              <w:rPr>
                <w:rFonts w:ascii="Arial" w:cs="Arial" w:eastAsia="Arial" w:hAnsi="Arial"/>
                <w:sz w:val="15"/>
                <w:szCs w:val="15"/>
                <w:color w:val="auto"/>
              </w:rPr>
              <w:t>Jon Doyle</w:t>
            </w:r>
            <w:r>
              <w:rPr>
                <w:rFonts w:ascii="Arial" w:cs="Arial" w:eastAsia="Arial" w:hAnsi="Arial"/>
                <w:sz w:val="25"/>
                <w:szCs w:val="25"/>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6"/>
                <w:szCs w:val="16"/>
                <w:color w:val="auto"/>
              </w:rPr>
              <w:t>27,500</w:t>
            </w:r>
          </w:p>
        </w:tc>
        <w:tc>
          <w:tcPr>
            <w:tcW w:w="2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27,500</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Jeffrey Horing</w:t>
            </w:r>
            <w:r>
              <w:rPr>
                <w:rFonts w:ascii="Arial" w:cs="Arial" w:eastAsia="Arial" w:hAnsi="Arial"/>
                <w:sz w:val="25"/>
                <w:szCs w:val="25"/>
                <w:color w:val="auto"/>
                <w:vertAlign w:val="superscript"/>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38,018,651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41.7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5"/>
              </w:rPr>
              <w:t>2,975,167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35,043,484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685,815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38.4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line="216" w:lineRule="exact"/>
              <w:rPr>
                <w:sz w:val="20"/>
                <w:szCs w:val="20"/>
                <w:color w:val="auto"/>
              </w:rPr>
            </w:pPr>
            <w:r>
              <w:rPr>
                <w:rFonts w:ascii="Arial" w:cs="Arial" w:eastAsia="Arial" w:hAnsi="Arial"/>
                <w:sz w:val="15"/>
                <w:szCs w:val="15"/>
                <w:color w:val="auto"/>
              </w:rPr>
              <w:t>Pam Kilday</w:t>
            </w:r>
            <w:r>
              <w:rPr>
                <w:rFonts w:ascii="Arial" w:cs="Arial" w:eastAsia="Arial" w:hAnsi="Arial"/>
                <w:sz w:val="25"/>
                <w:szCs w:val="25"/>
                <w:color w:val="auto"/>
                <w:vertAlign w:val="superscript"/>
              </w:rPr>
              <w:t>(6)</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2,500</w:t>
            </w:r>
          </w:p>
        </w:tc>
        <w:tc>
          <w:tcPr>
            <w:tcW w:w="2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2,500</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Spencer Lake</w:t>
            </w:r>
            <w:r>
              <w:rPr>
                <w:rFonts w:ascii="Arial" w:cs="Arial" w:eastAsia="Arial" w:hAnsi="Arial"/>
                <w:sz w:val="25"/>
                <w:szCs w:val="25"/>
                <w:color w:val="auto"/>
                <w:vertAlign w:val="superscript"/>
              </w:rPr>
              <w:t>(7)</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29,350</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line="216" w:lineRule="exact"/>
              <w:rPr>
                <w:sz w:val="20"/>
                <w:szCs w:val="20"/>
                <w:color w:val="auto"/>
              </w:rPr>
            </w:pPr>
            <w:r>
              <w:rPr>
                <w:rFonts w:ascii="Arial" w:cs="Arial" w:eastAsia="Arial" w:hAnsi="Arial"/>
                <w:sz w:val="15"/>
                <w:szCs w:val="15"/>
                <w:color w:val="auto"/>
              </w:rPr>
              <w:t>Jeffrey Lunsford</w:t>
            </w:r>
            <w:r>
              <w:rPr>
                <w:rFonts w:ascii="Arial" w:cs="Arial" w:eastAsia="Arial" w:hAnsi="Arial"/>
                <w:sz w:val="25"/>
                <w:szCs w:val="25"/>
                <w:color w:val="auto"/>
                <w:vertAlign w:val="superscript"/>
              </w:rPr>
              <w:t>(8)</w:t>
            </w:r>
          </w:p>
        </w:tc>
        <w:tc>
          <w:tcPr>
            <w:tcW w:w="760" w:type="dxa"/>
            <w:vAlign w:val="bottom"/>
          </w:tcPr>
          <w:p>
            <w:pPr>
              <w:jc w:val="right"/>
              <w:spacing w:after="0"/>
              <w:rPr>
                <w:sz w:val="20"/>
                <w:szCs w:val="20"/>
                <w:color w:val="auto"/>
              </w:rPr>
            </w:pPr>
            <w:r>
              <w:rPr>
                <w:rFonts w:ascii="Arial" w:cs="Arial" w:eastAsia="Arial" w:hAnsi="Arial"/>
                <w:sz w:val="16"/>
                <w:szCs w:val="16"/>
                <w:color w:val="auto"/>
              </w:rPr>
              <w:t>402,500</w:t>
            </w:r>
          </w:p>
        </w:tc>
        <w:tc>
          <w:tcPr>
            <w:tcW w:w="2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61,500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341,000</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William Ruh</w:t>
            </w:r>
            <w:r>
              <w:rPr>
                <w:rFonts w:ascii="Arial" w:cs="Arial" w:eastAsia="Arial" w:hAnsi="Arial"/>
                <w:sz w:val="25"/>
                <w:szCs w:val="25"/>
                <w:color w:val="auto"/>
                <w:vertAlign w:val="superscript"/>
              </w:rPr>
              <w:t>(9)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358,701</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spacing w:after="0"/>
              <w:rPr>
                <w:sz w:val="20"/>
                <w:szCs w:val="20"/>
                <w:color w:val="auto"/>
              </w:rPr>
            </w:pPr>
            <w:r>
              <w:rPr>
                <w:rFonts w:ascii="Arial" w:cs="Arial" w:eastAsia="Arial" w:hAnsi="Arial"/>
                <w:sz w:val="16"/>
                <w:szCs w:val="16"/>
                <w:color w:val="auto"/>
                <w:w w:val="99"/>
              </w:rPr>
              <w:t>All executive officers and directors as a group (13 persons)</w:t>
            </w: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5"/>
              </w:rPr>
              <w:t>3,608,405</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4"/>
              </w:rPr>
              <w:t>37,982,037</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685,815</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40.8</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40.1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160"/>
              <w:spacing w:after="0"/>
              <w:rPr>
                <w:sz w:val="20"/>
                <w:szCs w:val="20"/>
                <w:color w:val="auto"/>
              </w:rPr>
            </w:pPr>
            <w:r>
              <w:rPr>
                <w:rFonts w:ascii="Arial" w:cs="Arial" w:eastAsia="Arial" w:hAnsi="Arial"/>
                <w:sz w:val="14"/>
                <w:szCs w:val="14"/>
                <w:color w:val="auto"/>
              </w:rPr>
              <w:t>(10)</w:t>
            </w:r>
          </w:p>
        </w:tc>
        <w:tc>
          <w:tcPr>
            <w:tcW w:w="2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5% Stockholders: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4"/>
                <w:szCs w:val="14"/>
                <w:color w:val="auto"/>
              </w:rPr>
              <w:t>Entities affiliated with Insight Partners</w:t>
            </w:r>
            <w:r>
              <w:rPr>
                <w:rFonts w:ascii="Arial" w:cs="Arial" w:eastAsia="Arial" w:hAnsi="Arial"/>
                <w:sz w:val="23"/>
                <w:szCs w:val="23"/>
                <w:color w:val="auto"/>
                <w:vertAlign w:val="superscript"/>
              </w:rPr>
              <w:t>(11)</w:t>
            </w:r>
          </w:p>
        </w:tc>
        <w:tc>
          <w:tcPr>
            <w:tcW w:w="760" w:type="dxa"/>
            <w:vAlign w:val="bottom"/>
          </w:tcPr>
          <w:p>
            <w:pPr>
              <w:jc w:val="right"/>
              <w:spacing w:after="0"/>
              <w:rPr>
                <w:sz w:val="20"/>
                <w:szCs w:val="20"/>
                <w:color w:val="auto"/>
              </w:rPr>
            </w:pPr>
            <w:r>
              <w:rPr>
                <w:rFonts w:ascii="Arial" w:cs="Arial" w:eastAsia="Arial" w:hAnsi="Arial"/>
                <w:sz w:val="16"/>
                <w:szCs w:val="16"/>
                <w:color w:val="auto"/>
                <w:w w:val="92"/>
              </w:rPr>
              <w:t>38,016,151</w:t>
            </w:r>
          </w:p>
        </w:tc>
        <w:tc>
          <w:tcPr>
            <w:tcW w:w="2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41.7</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w w:val="95"/>
              </w:rPr>
              <w:t>2,975,167</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35,040,984</w:t>
            </w:r>
          </w:p>
        </w:tc>
        <w:tc>
          <w:tcPr>
            <w:tcW w:w="620" w:type="dxa"/>
            <w:vAlign w:val="bottom"/>
          </w:tcPr>
          <w:p>
            <w:pPr>
              <w:jc w:val="right"/>
              <w:spacing w:after="0"/>
              <w:rPr>
                <w:sz w:val="20"/>
                <w:szCs w:val="20"/>
                <w:color w:val="auto"/>
              </w:rPr>
            </w:pPr>
            <w:r>
              <w:rPr>
                <w:rFonts w:ascii="Arial" w:cs="Arial" w:eastAsia="Arial" w:hAnsi="Arial"/>
                <w:sz w:val="16"/>
                <w:szCs w:val="16"/>
                <w:color w:val="auto"/>
              </w:rPr>
              <w:t>685,815</w:t>
            </w:r>
          </w:p>
        </w:tc>
        <w:tc>
          <w:tcPr>
            <w:tcW w:w="2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38.4</w:t>
            </w:r>
          </w:p>
        </w:tc>
        <w:tc>
          <w:tcPr>
            <w:tcW w:w="740" w:type="dxa"/>
            <w:vAlign w:val="bottom"/>
          </w:tcPr>
          <w:p>
            <w:pPr>
              <w:jc w:val="right"/>
              <w:spacing w:after="0"/>
              <w:rPr>
                <w:sz w:val="20"/>
                <w:szCs w:val="20"/>
                <w:color w:val="auto"/>
              </w:rPr>
            </w:pPr>
            <w:r>
              <w:rPr>
                <w:rFonts w:ascii="Arial" w:cs="Arial" w:eastAsia="Arial" w:hAnsi="Arial"/>
                <w:sz w:val="16"/>
                <w:szCs w:val="16"/>
                <w:color w:val="auto"/>
              </w:rPr>
              <w:t>37.7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Entities affiliated with Salesforce</w:t>
            </w:r>
            <w:r>
              <w:rPr>
                <w:rFonts w:ascii="Arial" w:cs="Arial" w:eastAsia="Arial" w:hAnsi="Arial"/>
                <w:sz w:val="25"/>
                <w:szCs w:val="25"/>
                <w:color w:val="auto"/>
                <w:vertAlign w:val="superscript"/>
              </w:rPr>
              <w:t>(12)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10,760,469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10,760,469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53"/>
        </w:trPr>
        <w:tc>
          <w:tcPr>
            <w:tcW w:w="4160" w:type="dxa"/>
            <w:vAlign w:val="bottom"/>
            <w:gridSpan w:val="2"/>
          </w:tcPr>
          <w:p>
            <w:pPr>
              <w:spacing w:after="0"/>
              <w:rPr>
                <w:sz w:val="20"/>
                <w:szCs w:val="20"/>
                <w:color w:val="auto"/>
              </w:rPr>
            </w:pPr>
            <w:r>
              <w:rPr>
                <w:rFonts w:ascii="Arial" w:cs="Arial" w:eastAsia="Arial" w:hAnsi="Arial"/>
                <w:sz w:val="16"/>
                <w:szCs w:val="16"/>
                <w:color w:val="auto"/>
              </w:rPr>
              <w:t>Entities affiliated with Wellington Management</w:t>
            </w:r>
            <w:r>
              <w:rPr>
                <w:rFonts w:ascii="Arial" w:cs="Arial" w:eastAsia="Arial" w:hAnsi="Arial"/>
                <w:sz w:val="27"/>
                <w:szCs w:val="27"/>
                <w:color w:val="auto"/>
                <w:vertAlign w:val="superscript"/>
              </w:rPr>
              <w:t>(13)</w:t>
            </w:r>
          </w:p>
        </w:tc>
        <w:tc>
          <w:tcPr>
            <w:tcW w:w="760" w:type="dxa"/>
            <w:vAlign w:val="bottom"/>
          </w:tcPr>
          <w:p>
            <w:pPr>
              <w:jc w:val="right"/>
              <w:spacing w:after="0"/>
              <w:rPr>
                <w:sz w:val="20"/>
                <w:szCs w:val="20"/>
                <w:color w:val="auto"/>
              </w:rPr>
            </w:pPr>
            <w:r>
              <w:rPr>
                <w:rFonts w:ascii="Arial" w:cs="Arial" w:eastAsia="Arial" w:hAnsi="Arial"/>
                <w:sz w:val="16"/>
                <w:szCs w:val="16"/>
                <w:color w:val="auto"/>
              </w:rPr>
              <w:t>7,715,323</w:t>
            </w:r>
          </w:p>
        </w:tc>
        <w:tc>
          <w:tcPr>
            <w:tcW w:w="24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8.5</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603,810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7,111,513</w:t>
            </w:r>
          </w:p>
        </w:tc>
        <w:tc>
          <w:tcPr>
            <w:tcW w:w="620" w:type="dxa"/>
            <w:vAlign w:val="bottom"/>
          </w:tcPr>
          <w:p>
            <w:pPr>
              <w:jc w:val="right"/>
              <w:spacing w:after="0"/>
              <w:rPr>
                <w:sz w:val="20"/>
                <w:szCs w:val="20"/>
                <w:color w:val="auto"/>
              </w:rPr>
            </w:pPr>
            <w:r>
              <w:rPr>
                <w:rFonts w:ascii="Arial" w:cs="Arial" w:eastAsia="Arial" w:hAnsi="Arial"/>
                <w:sz w:val="16"/>
                <w:szCs w:val="16"/>
                <w:color w:val="auto"/>
              </w:rPr>
              <w:t>139,185</w:t>
            </w:r>
          </w:p>
        </w:tc>
        <w:tc>
          <w:tcPr>
            <w:tcW w:w="24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7.8</w:t>
            </w: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After this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Shares</w:t>
            </w: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Shares</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(Option to</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 be</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860" w:type="dxa"/>
            <w:vAlign w:val="bottom"/>
            <w:gridSpan w:val="2"/>
            <w:vMerge w:val="continue"/>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Prior to</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Prior to</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Sold in</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After</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Owned</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680" w:type="dxa"/>
            <w:vAlign w:val="bottom"/>
            <w:vMerge w:val="restart"/>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this</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this</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this</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this</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 to</w:t>
            </w: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After this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Offering</w:t>
            </w: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5"/>
              </w:rPr>
              <w:t>Offering</w:t>
            </w:r>
          </w:p>
        </w:tc>
        <w:tc>
          <w:tcPr>
            <w:tcW w:w="7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Offering</w:t>
            </w: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Offering</w:t>
            </w:r>
          </w:p>
        </w:tc>
        <w:tc>
          <w:tcPr>
            <w:tcW w:w="8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8"/>
              </w:rPr>
              <w:t>Purchase</w:t>
            </w: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5"/>
              </w:rPr>
              <w:t>Offering</w:t>
            </w:r>
          </w:p>
        </w:tc>
        <w:tc>
          <w:tcPr>
            <w:tcW w:w="9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76"/>
        </w:trPr>
        <w:tc>
          <w:tcPr>
            <w:tcW w:w="43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Other Selling Stockholders:</w:t>
            </w: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4"/>
                <w:szCs w:val="14"/>
                <w:color w:val="auto"/>
              </w:rPr>
              <w:t>Entities affiliated with James S. Mahan III</w:t>
            </w:r>
            <w:r>
              <w:rPr>
                <w:rFonts w:ascii="Arial" w:cs="Arial" w:eastAsia="Arial" w:hAnsi="Arial"/>
                <w:sz w:val="23"/>
                <w:szCs w:val="23"/>
                <w:color w:val="auto"/>
                <w:vertAlign w:val="superscript"/>
              </w:rPr>
              <w:t>(14)</w:t>
            </w:r>
          </w:p>
        </w:tc>
        <w:tc>
          <w:tcPr>
            <w:tcW w:w="740" w:type="dxa"/>
            <w:vAlign w:val="bottom"/>
          </w:tcPr>
          <w:p>
            <w:pPr>
              <w:jc w:val="right"/>
              <w:spacing w:after="0"/>
              <w:rPr>
                <w:sz w:val="20"/>
                <w:szCs w:val="20"/>
                <w:color w:val="auto"/>
              </w:rPr>
            </w:pPr>
            <w:r>
              <w:rPr>
                <w:rFonts w:ascii="Arial" w:cs="Arial" w:eastAsia="Arial" w:hAnsi="Arial"/>
                <w:sz w:val="16"/>
                <w:szCs w:val="16"/>
                <w:color w:val="auto"/>
              </w:rPr>
              <w:t>1,619,718</w:t>
            </w:r>
          </w:p>
        </w:tc>
        <w:tc>
          <w:tcPr>
            <w:tcW w:w="2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1.8%</w:t>
            </w:r>
          </w:p>
        </w:tc>
        <w:tc>
          <w:tcPr>
            <w:tcW w:w="540" w:type="dxa"/>
            <w:vAlign w:val="bottom"/>
          </w:tcPr>
          <w:p>
            <w:pPr>
              <w:jc w:val="right"/>
              <w:spacing w:after="0"/>
              <w:rPr>
                <w:sz w:val="20"/>
                <w:szCs w:val="20"/>
                <w:color w:val="auto"/>
              </w:rPr>
            </w:pPr>
            <w:r>
              <w:rPr>
                <w:rFonts w:ascii="Arial" w:cs="Arial" w:eastAsia="Arial" w:hAnsi="Arial"/>
                <w:sz w:val="16"/>
                <w:szCs w:val="16"/>
                <w:color w:val="auto"/>
              </w:rPr>
              <w:t>86,427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1,533,291</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left="201"/>
              <w:spacing w:after="0"/>
              <w:rPr>
                <w:sz w:val="20"/>
                <w:szCs w:val="20"/>
                <w:color w:val="auto"/>
              </w:rPr>
            </w:pPr>
            <w:r>
              <w:rPr>
                <w:rFonts w:ascii="Arial" w:cs="Arial" w:eastAsia="Arial" w:hAnsi="Arial"/>
                <w:sz w:val="16"/>
                <w:szCs w:val="16"/>
                <w:color w:val="auto"/>
                <w:w w:val="93"/>
              </w:rPr>
              <w:t>1.7%</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Marguerite D. Mahan</w:t>
            </w:r>
            <w:r>
              <w:rPr>
                <w:rFonts w:ascii="Arial" w:cs="Arial" w:eastAsia="Arial" w:hAnsi="Arial"/>
                <w:sz w:val="23"/>
                <w:szCs w:val="23"/>
                <w:color w:val="auto"/>
                <w:vertAlign w:val="superscript"/>
              </w:rPr>
              <w:t>(15)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1,565,686</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86,427</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1,479,259</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center"/>
              <w:ind w:left="201"/>
              <w:spacing w:after="0"/>
              <w:rPr>
                <w:sz w:val="20"/>
                <w:szCs w:val="20"/>
                <w:color w:val="auto"/>
              </w:rPr>
            </w:pPr>
            <w:r>
              <w:rPr>
                <w:rFonts w:ascii="Arial" w:cs="Arial" w:eastAsia="Arial" w:hAnsi="Arial"/>
                <w:sz w:val="16"/>
                <w:szCs w:val="16"/>
                <w:color w:val="auto"/>
                <w:w w:val="93"/>
              </w:rPr>
              <w:t>1.6%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4"/>
                <w:szCs w:val="14"/>
                <w:color w:val="auto"/>
              </w:rPr>
              <w:t>Neil Underwood</w:t>
            </w:r>
            <w:r>
              <w:rPr>
                <w:rFonts w:ascii="Arial" w:cs="Arial" w:eastAsia="Arial" w:hAnsi="Arial"/>
                <w:sz w:val="23"/>
                <w:szCs w:val="23"/>
                <w:color w:val="auto"/>
                <w:vertAlign w:val="superscript"/>
              </w:rPr>
              <w:t>(16)</w:t>
            </w:r>
          </w:p>
        </w:tc>
        <w:tc>
          <w:tcPr>
            <w:tcW w:w="740" w:type="dxa"/>
            <w:vAlign w:val="bottom"/>
          </w:tcPr>
          <w:p>
            <w:pPr>
              <w:jc w:val="right"/>
              <w:spacing w:after="0"/>
              <w:rPr>
                <w:sz w:val="20"/>
                <w:szCs w:val="20"/>
                <w:color w:val="auto"/>
              </w:rPr>
            </w:pPr>
            <w:r>
              <w:rPr>
                <w:rFonts w:ascii="Arial" w:cs="Arial" w:eastAsia="Arial" w:hAnsi="Arial"/>
                <w:sz w:val="16"/>
                <w:szCs w:val="16"/>
                <w:color w:val="auto"/>
              </w:rPr>
              <w:t>1,089,090</w:t>
            </w:r>
          </w:p>
        </w:tc>
        <w:tc>
          <w:tcPr>
            <w:tcW w:w="2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540" w:type="dxa"/>
            <w:vAlign w:val="bottom"/>
          </w:tcPr>
          <w:p>
            <w:pPr>
              <w:jc w:val="right"/>
              <w:spacing w:after="0"/>
              <w:rPr>
                <w:sz w:val="20"/>
                <w:szCs w:val="20"/>
                <w:color w:val="auto"/>
              </w:rPr>
            </w:pPr>
            <w:r>
              <w:rPr>
                <w:rFonts w:ascii="Arial" w:cs="Arial" w:eastAsia="Arial" w:hAnsi="Arial"/>
                <w:sz w:val="16"/>
                <w:szCs w:val="16"/>
                <w:color w:val="auto"/>
              </w:rPr>
              <w:t>85,168</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1,003,922</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left="201"/>
              <w:spacing w:after="0"/>
              <w:rPr>
                <w:sz w:val="20"/>
                <w:szCs w:val="20"/>
                <w:color w:val="auto"/>
              </w:rPr>
            </w:pPr>
            <w:r>
              <w:rPr>
                <w:rFonts w:ascii="Arial" w:cs="Arial" w:eastAsia="Arial" w:hAnsi="Arial"/>
                <w:sz w:val="16"/>
                <w:szCs w:val="16"/>
                <w:color w:val="auto"/>
                <w:w w:val="93"/>
              </w:rPr>
              <w:t>1.1%</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Ronald A. Tetenbaum</w:t>
            </w:r>
            <w:r>
              <w:rPr>
                <w:rFonts w:ascii="Arial" w:cs="Arial" w:eastAsia="Arial" w:hAnsi="Arial"/>
                <w:sz w:val="23"/>
                <w:szCs w:val="23"/>
                <w:color w:val="auto"/>
                <w:vertAlign w:val="superscript"/>
              </w:rPr>
              <w:t>(17)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835,100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65,305</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769,795</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4"/>
                <w:szCs w:val="14"/>
                <w:color w:val="auto"/>
              </w:rPr>
              <w:t>Russell M. Carter</w:t>
            </w:r>
            <w:r>
              <w:rPr>
                <w:rFonts w:ascii="Arial" w:cs="Arial" w:eastAsia="Arial" w:hAnsi="Arial"/>
                <w:sz w:val="23"/>
                <w:szCs w:val="23"/>
                <w:color w:val="auto"/>
                <w:vertAlign w:val="superscript"/>
              </w:rPr>
              <w:t>(18)</w:t>
            </w:r>
          </w:p>
        </w:tc>
        <w:tc>
          <w:tcPr>
            <w:tcW w:w="740" w:type="dxa"/>
            <w:vAlign w:val="bottom"/>
          </w:tcPr>
          <w:p>
            <w:pPr>
              <w:jc w:val="right"/>
              <w:spacing w:after="0"/>
              <w:rPr>
                <w:sz w:val="20"/>
                <w:szCs w:val="20"/>
                <w:color w:val="auto"/>
              </w:rPr>
            </w:pPr>
            <w:r>
              <w:rPr>
                <w:rFonts w:ascii="Arial" w:cs="Arial" w:eastAsia="Arial" w:hAnsi="Arial"/>
                <w:sz w:val="16"/>
                <w:szCs w:val="16"/>
                <w:color w:val="auto"/>
              </w:rPr>
              <w:t>751,704</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4,049</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747,655</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Maurice J. Koury Marital Trust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517,789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40,492</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477,297</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4"/>
                <w:szCs w:val="14"/>
                <w:color w:val="auto"/>
              </w:rPr>
              <w:t>Jeffrey A. Babka</w:t>
            </w:r>
            <w:r>
              <w:rPr>
                <w:rFonts w:ascii="Arial" w:cs="Arial" w:eastAsia="Arial" w:hAnsi="Arial"/>
                <w:sz w:val="23"/>
                <w:szCs w:val="23"/>
                <w:color w:val="auto"/>
                <w:vertAlign w:val="superscript"/>
              </w:rPr>
              <w:t>(19)</w:t>
            </w:r>
          </w:p>
        </w:tc>
        <w:tc>
          <w:tcPr>
            <w:tcW w:w="740" w:type="dxa"/>
            <w:vAlign w:val="bottom"/>
          </w:tcPr>
          <w:p>
            <w:pPr>
              <w:jc w:val="right"/>
              <w:spacing w:after="0"/>
              <w:rPr>
                <w:sz w:val="20"/>
                <w:szCs w:val="20"/>
                <w:color w:val="auto"/>
              </w:rPr>
            </w:pPr>
            <w:r>
              <w:rPr>
                <w:rFonts w:ascii="Arial" w:cs="Arial" w:eastAsia="Arial" w:hAnsi="Arial"/>
                <w:sz w:val="16"/>
                <w:szCs w:val="16"/>
                <w:color w:val="auto"/>
              </w:rPr>
              <w:t>375,000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29,325</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345,675</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Harbor Island Equity Partners LLC</w:t>
            </w:r>
            <w:r>
              <w:rPr>
                <w:rFonts w:ascii="Arial" w:cs="Arial" w:eastAsia="Arial" w:hAnsi="Arial"/>
                <w:sz w:val="23"/>
                <w:szCs w:val="23"/>
                <w:color w:val="auto"/>
                <w:vertAlign w:val="superscript"/>
              </w:rPr>
              <w:t>(20)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310,370</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Bruce B. Cameron IV Revocable Trust</w:t>
            </w:r>
          </w:p>
        </w:tc>
        <w:tc>
          <w:tcPr>
            <w:tcW w:w="740" w:type="dxa"/>
            <w:vAlign w:val="bottom"/>
          </w:tcPr>
          <w:p>
            <w:pPr>
              <w:jc w:val="right"/>
              <w:spacing w:after="0"/>
              <w:rPr>
                <w:sz w:val="20"/>
                <w:szCs w:val="20"/>
                <w:color w:val="auto"/>
              </w:rPr>
            </w:pPr>
            <w:r>
              <w:rPr>
                <w:rFonts w:ascii="Arial" w:cs="Arial" w:eastAsia="Arial" w:hAnsi="Arial"/>
                <w:sz w:val="16"/>
                <w:szCs w:val="16"/>
                <w:color w:val="auto"/>
              </w:rPr>
              <w:t>300,000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23,460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276,540</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Jane C. Sullivan Trust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19,941</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235,059</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rPr>
                <w:sz w:val="20"/>
                <w:szCs w:val="20"/>
                <w:color w:val="auto"/>
              </w:rPr>
            </w:pPr>
            <w:r>
              <w:rPr>
                <w:rFonts w:ascii="Arial" w:cs="Arial" w:eastAsia="Arial" w:hAnsi="Arial"/>
                <w:sz w:val="16"/>
                <w:szCs w:val="16"/>
                <w:color w:val="auto"/>
                <w:w w:val="97"/>
              </w:rPr>
              <w:t>Mary Jo Cameron Trustee of the Mary Jo Rissacher Cameron</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gridSpan w:val="2"/>
          </w:tcPr>
          <w:p>
            <w:pPr>
              <w:ind w:left="160"/>
              <w:spacing w:after="0"/>
              <w:rPr>
                <w:sz w:val="20"/>
                <w:szCs w:val="20"/>
                <w:color w:val="auto"/>
              </w:rPr>
            </w:pPr>
            <w:r>
              <w:rPr>
                <w:rFonts w:ascii="Arial" w:cs="Arial" w:eastAsia="Arial" w:hAnsi="Arial"/>
                <w:sz w:val="16"/>
                <w:szCs w:val="16"/>
                <w:color w:val="auto"/>
              </w:rPr>
              <w:t>Revocable Trust</w:t>
            </w:r>
          </w:p>
        </w:tc>
        <w:tc>
          <w:tcPr>
            <w:tcW w:w="740" w:type="dxa"/>
            <w:vAlign w:val="bottom"/>
          </w:tcPr>
          <w:p>
            <w:pPr>
              <w:jc w:val="right"/>
              <w:spacing w:after="0"/>
              <w:rPr>
                <w:sz w:val="20"/>
                <w:szCs w:val="20"/>
                <w:color w:val="auto"/>
              </w:rPr>
            </w:pPr>
            <w:r>
              <w:rPr>
                <w:rFonts w:ascii="Arial" w:cs="Arial" w:eastAsia="Arial" w:hAnsi="Arial"/>
                <w:sz w:val="16"/>
                <w:szCs w:val="16"/>
                <w:color w:val="auto"/>
              </w:rPr>
              <w:t>217,382</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200,382</w:t>
            </w:r>
          </w:p>
        </w:tc>
        <w:tc>
          <w:tcPr>
            <w:tcW w:w="24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00" w:type="dxa"/>
            <w:vAlign w:val="bottom"/>
            <w:gridSpan w:val="2"/>
            <w:shd w:val="clear" w:color="auto" w:fill="CCEEFF"/>
          </w:tcPr>
          <w:p>
            <w:pPr>
              <w:spacing w:after="0" w:line="205" w:lineRule="exact"/>
              <w:rPr>
                <w:sz w:val="20"/>
                <w:szCs w:val="20"/>
                <w:color w:val="auto"/>
              </w:rPr>
            </w:pPr>
            <w:r>
              <w:rPr>
                <w:rFonts w:ascii="Arial" w:cs="Arial" w:eastAsia="Arial" w:hAnsi="Arial"/>
                <w:sz w:val="14"/>
                <w:szCs w:val="14"/>
                <w:color w:val="auto"/>
              </w:rPr>
              <w:t>Entities affiliated with John P. Blevins</w:t>
            </w:r>
            <w:r>
              <w:rPr>
                <w:rFonts w:ascii="Arial" w:cs="Arial" w:eastAsia="Arial" w:hAnsi="Arial"/>
                <w:sz w:val="23"/>
                <w:szCs w:val="23"/>
                <w:color w:val="auto"/>
                <w:vertAlign w:val="superscript"/>
              </w:rPr>
              <w:t>(21)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203,692</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15,929</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187,763</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Vincent Dailey</w:t>
            </w:r>
          </w:p>
        </w:tc>
        <w:tc>
          <w:tcPr>
            <w:tcW w:w="740" w:type="dxa"/>
            <w:vAlign w:val="bottom"/>
          </w:tcPr>
          <w:p>
            <w:pPr>
              <w:jc w:val="right"/>
              <w:spacing w:after="0"/>
              <w:rPr>
                <w:sz w:val="20"/>
                <w:szCs w:val="20"/>
                <w:color w:val="auto"/>
              </w:rPr>
            </w:pPr>
            <w:r>
              <w:rPr>
                <w:rFonts w:ascii="Arial" w:cs="Arial" w:eastAsia="Arial" w:hAnsi="Arial"/>
                <w:sz w:val="16"/>
                <w:szCs w:val="16"/>
                <w:color w:val="auto"/>
              </w:rPr>
              <w:t>186,406</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14,577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171,829</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Peter Underwood</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13,685</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161,315</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rPr>
                <w:sz w:val="20"/>
                <w:szCs w:val="20"/>
                <w:color w:val="auto"/>
              </w:rPr>
            </w:pPr>
            <w:r>
              <w:rPr>
                <w:rFonts w:ascii="Arial" w:cs="Arial" w:eastAsia="Arial" w:hAnsi="Arial"/>
                <w:sz w:val="16"/>
                <w:szCs w:val="16"/>
                <w:color w:val="auto"/>
                <w:w w:val="97"/>
              </w:rPr>
              <w:t>The William H Cameron Revocable Trust Dated November 25</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20" w:type="dxa"/>
            <w:vAlign w:val="bottom"/>
          </w:tcPr>
          <w:p>
            <w:pPr>
              <w:ind w:left="160"/>
              <w:spacing w:after="0"/>
              <w:rPr>
                <w:sz w:val="20"/>
                <w:szCs w:val="20"/>
                <w:color w:val="auto"/>
              </w:rPr>
            </w:pPr>
            <w:r>
              <w:rPr>
                <w:rFonts w:ascii="Arial" w:cs="Arial" w:eastAsia="Arial" w:hAnsi="Arial"/>
                <w:sz w:val="16"/>
                <w:szCs w:val="16"/>
                <w:color w:val="auto"/>
              </w:rPr>
              <w:t>2014</w:t>
            </w:r>
          </w:p>
        </w:tc>
        <w:tc>
          <w:tcPr>
            <w:tcW w:w="26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171,159</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13,385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157,774</w:t>
            </w:r>
          </w:p>
        </w:tc>
        <w:tc>
          <w:tcPr>
            <w:tcW w:w="24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Elizabeth H. Cameron IRR GST EXT TR SYMT D&amp;D</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12/18/12 Hilda C. Dill Hilda C. Dill Trustee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143,339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11,210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132,129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Trust FBO Ford Williams U/ITA 10/1/2015 (post-grat)</w:t>
            </w:r>
          </w:p>
        </w:tc>
        <w:tc>
          <w:tcPr>
            <w:tcW w:w="740" w:type="dxa"/>
            <w:vAlign w:val="bottom"/>
          </w:tcPr>
          <w:p>
            <w:pPr>
              <w:jc w:val="right"/>
              <w:spacing w:after="0"/>
              <w:rPr>
                <w:sz w:val="20"/>
                <w:szCs w:val="20"/>
                <w:color w:val="auto"/>
              </w:rPr>
            </w:pPr>
            <w:r>
              <w:rPr>
                <w:rFonts w:ascii="Arial" w:cs="Arial" w:eastAsia="Arial" w:hAnsi="Arial"/>
                <w:sz w:val="16"/>
                <w:szCs w:val="16"/>
                <w:color w:val="auto"/>
              </w:rPr>
              <w:t>132,508</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10,363</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122,145</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Trust F/B/O Elizabeth Willias McDonald U/ITA 10/1/15 Post-</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Grat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122,144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Ryan R. Mahan</w:t>
            </w:r>
          </w:p>
        </w:tc>
        <w:tc>
          <w:tcPr>
            <w:tcW w:w="740" w:type="dxa"/>
            <w:vAlign w:val="bottom"/>
          </w:tcPr>
          <w:p>
            <w:pPr>
              <w:jc w:val="right"/>
              <w:spacing w:after="0"/>
              <w:rPr>
                <w:sz w:val="20"/>
                <w:szCs w:val="20"/>
                <w:color w:val="auto"/>
              </w:rPr>
            </w:pPr>
            <w:r>
              <w:rPr>
                <w:rFonts w:ascii="Arial" w:cs="Arial" w:eastAsia="Arial" w:hAnsi="Arial"/>
                <w:sz w:val="16"/>
                <w:szCs w:val="16"/>
                <w:color w:val="auto"/>
              </w:rPr>
              <w:t>131,977</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10,321</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121,656</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David Cameron Jr. Trust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127,739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117,749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Charlotte Anne Cameron Revocable Trust</w:t>
            </w:r>
          </w:p>
        </w:tc>
        <w:tc>
          <w:tcPr>
            <w:tcW w:w="740" w:type="dxa"/>
            <w:vAlign w:val="bottom"/>
          </w:tcPr>
          <w:p>
            <w:pPr>
              <w:jc w:val="right"/>
              <w:spacing w:after="0"/>
              <w:rPr>
                <w:sz w:val="20"/>
                <w:szCs w:val="20"/>
                <w:color w:val="auto"/>
              </w:rPr>
            </w:pPr>
            <w:r>
              <w:rPr>
                <w:rFonts w:ascii="Arial" w:cs="Arial" w:eastAsia="Arial" w:hAnsi="Arial"/>
                <w:sz w:val="16"/>
                <w:szCs w:val="16"/>
                <w:color w:val="auto"/>
              </w:rPr>
              <w:t>122,520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9,582</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112,938</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Swanna Saltiel</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121,089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111,619</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Daniel D. Cameron Family Foundation, Inc.</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119,360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9,334</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110,026</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Bruce Barclay Cameron Foundation, Inc.</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114,478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8,953</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105,525</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4"/>
                <w:szCs w:val="14"/>
                <w:color w:val="auto"/>
              </w:rPr>
              <w:t>Katherine Groat</w:t>
            </w:r>
            <w:r>
              <w:rPr>
                <w:rFonts w:ascii="Arial" w:cs="Arial" w:eastAsia="Arial" w:hAnsi="Arial"/>
                <w:sz w:val="23"/>
                <w:szCs w:val="23"/>
                <w:color w:val="auto"/>
                <w:vertAlign w:val="superscript"/>
              </w:rPr>
              <w:t>(22)</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112,502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8,799</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103,703</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Elinor Carol Hart &amp; James E. Falkowski Jt Ten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100,083</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92,256</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00" w:type="dxa"/>
            <w:vAlign w:val="bottom"/>
            <w:gridSpan w:val="2"/>
          </w:tcPr>
          <w:p>
            <w:pPr>
              <w:spacing w:after="0"/>
              <w:rPr>
                <w:sz w:val="20"/>
                <w:szCs w:val="20"/>
                <w:color w:val="auto"/>
              </w:rPr>
            </w:pPr>
            <w:r>
              <w:rPr>
                <w:rFonts w:ascii="Arial" w:cs="Arial" w:eastAsia="Arial" w:hAnsi="Arial"/>
                <w:sz w:val="16"/>
                <w:szCs w:val="16"/>
                <w:color w:val="auto"/>
              </w:rPr>
              <w:t>Rachel L. Cameron Trust dtd 4-3-13</w:t>
            </w:r>
          </w:p>
        </w:tc>
        <w:tc>
          <w:tcPr>
            <w:tcW w:w="74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7,820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92,180</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After this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Shares</w:t>
            </w: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2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of Shares</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(Option to</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Owned</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 be</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880" w:type="dxa"/>
            <w:vAlign w:val="bottom"/>
            <w:gridSpan w:val="2"/>
            <w:vMerge w:val="continue"/>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Prior to</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Prior to</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Sold in</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After</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Subject to</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840" w:type="dxa"/>
            <w:vAlign w:val="bottom"/>
            <w:vMerge w:val="restart"/>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this</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this</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this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this</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 to</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After this</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Offering</w:t>
            </w:r>
          </w:p>
        </w:tc>
        <w:tc>
          <w:tcPr>
            <w:tcW w:w="11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5"/>
              </w:rPr>
              <w:t>Offering</w:t>
            </w:r>
          </w:p>
        </w:tc>
        <w:tc>
          <w:tcPr>
            <w:tcW w:w="8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Offering</w:t>
            </w: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Offering</w:t>
            </w: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Purchase</w:t>
            </w: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Offering</w:t>
            </w:r>
          </w:p>
        </w:tc>
        <w:tc>
          <w:tcPr>
            <w:tcW w:w="7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Travis E. York</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83,681</w:t>
            </w: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6,544</w:t>
            </w: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77,137</w:t>
            </w:r>
          </w:p>
        </w:tc>
        <w:tc>
          <w:tcPr>
            <w:tcW w:w="2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Calvin E. Lewis, Jr. &amp; Jackie W. Lewis Jt Ten</w:t>
            </w:r>
          </w:p>
        </w:tc>
        <w:tc>
          <w:tcPr>
            <w:tcW w:w="740" w:type="dxa"/>
            <w:vAlign w:val="bottom"/>
          </w:tcPr>
          <w:p>
            <w:pPr>
              <w:jc w:val="right"/>
              <w:spacing w:after="0"/>
              <w:rPr>
                <w:sz w:val="20"/>
                <w:szCs w:val="20"/>
                <w:color w:val="auto"/>
              </w:rPr>
            </w:pPr>
            <w:r>
              <w:rPr>
                <w:rFonts w:ascii="Arial" w:cs="Arial" w:eastAsia="Arial" w:hAnsi="Arial"/>
                <w:sz w:val="16"/>
                <w:szCs w:val="16"/>
                <w:color w:val="auto"/>
              </w:rPr>
              <w:t>82,603</w:t>
            </w: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6,460</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76,143</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Kay A. Anderson &amp; Kent E. Anderson Jt Ten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6,256</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73,744</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Brian C. Faulk</w:t>
            </w:r>
          </w:p>
        </w:tc>
        <w:tc>
          <w:tcPr>
            <w:tcW w:w="740" w:type="dxa"/>
            <w:vAlign w:val="bottom"/>
          </w:tcPr>
          <w:p>
            <w:pPr>
              <w:jc w:val="right"/>
              <w:spacing w:after="0"/>
              <w:rPr>
                <w:sz w:val="20"/>
                <w:szCs w:val="20"/>
                <w:color w:val="auto"/>
              </w:rPr>
            </w:pPr>
            <w:r>
              <w:rPr>
                <w:rFonts w:ascii="Arial" w:cs="Arial" w:eastAsia="Arial" w:hAnsi="Arial"/>
                <w:sz w:val="16"/>
                <w:szCs w:val="16"/>
                <w:color w:val="auto"/>
              </w:rPr>
              <w:t>80,000</w:t>
            </w: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6,256</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73,744</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Stephanie C. Dunn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72,166</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66,522</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Keith Merklin Living Trust</w:t>
            </w:r>
          </w:p>
        </w:tc>
        <w:tc>
          <w:tcPr>
            <w:tcW w:w="740" w:type="dxa"/>
            <w:vAlign w:val="bottom"/>
          </w:tcPr>
          <w:p>
            <w:pPr>
              <w:jc w:val="right"/>
              <w:spacing w:after="0"/>
              <w:rPr>
                <w:sz w:val="20"/>
                <w:szCs w:val="20"/>
                <w:color w:val="auto"/>
              </w:rPr>
            </w:pPr>
            <w:r>
              <w:rPr>
                <w:rFonts w:ascii="Arial" w:cs="Arial" w:eastAsia="Arial" w:hAnsi="Arial"/>
                <w:sz w:val="16"/>
                <w:szCs w:val="16"/>
                <w:color w:val="auto"/>
              </w:rPr>
              <w:t>64,295</w:t>
            </w: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5,028</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59,267</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Jennifer Merklin Living Trust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64,294</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5,028</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59,266</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4"/>
                <w:szCs w:val="14"/>
                <w:color w:val="auto"/>
              </w:rPr>
              <w:t>Sales Employees</w:t>
            </w:r>
            <w:r>
              <w:rPr>
                <w:rFonts w:ascii="Arial" w:cs="Arial" w:eastAsia="Arial" w:hAnsi="Arial"/>
                <w:sz w:val="23"/>
                <w:szCs w:val="23"/>
                <w:color w:val="auto"/>
                <w:vertAlign w:val="superscript"/>
              </w:rPr>
              <w:t>(23)</w:t>
            </w:r>
          </w:p>
        </w:tc>
        <w:tc>
          <w:tcPr>
            <w:tcW w:w="740" w:type="dxa"/>
            <w:vAlign w:val="bottom"/>
          </w:tcPr>
          <w:p>
            <w:pPr>
              <w:jc w:val="right"/>
              <w:spacing w:after="0"/>
              <w:rPr>
                <w:sz w:val="20"/>
                <w:szCs w:val="20"/>
                <w:color w:val="auto"/>
              </w:rPr>
            </w:pPr>
            <w:r>
              <w:rPr>
                <w:rFonts w:ascii="Arial" w:cs="Arial" w:eastAsia="Arial" w:hAnsi="Arial"/>
                <w:sz w:val="16"/>
                <w:szCs w:val="16"/>
                <w:color w:val="auto"/>
              </w:rPr>
              <w:t>706,063</w:t>
            </w: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128,682</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577,381</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Product Management and Engineering Employees</w:t>
            </w:r>
            <w:r>
              <w:rPr>
                <w:rFonts w:ascii="Arial" w:cs="Arial" w:eastAsia="Arial" w:hAnsi="Arial"/>
                <w:sz w:val="23"/>
                <w:szCs w:val="23"/>
                <w:color w:val="auto"/>
                <w:vertAlign w:val="superscript"/>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568,522</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80,223</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488,299</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4"/>
                <w:szCs w:val="14"/>
                <w:color w:val="auto"/>
              </w:rPr>
              <w:t>Administrative Employees</w:t>
            </w:r>
            <w:r>
              <w:rPr>
                <w:rFonts w:ascii="Arial" w:cs="Arial" w:eastAsia="Arial" w:hAnsi="Arial"/>
                <w:sz w:val="23"/>
                <w:szCs w:val="23"/>
                <w:color w:val="auto"/>
                <w:vertAlign w:val="superscript"/>
              </w:rPr>
              <w:t>(23)</w:t>
            </w:r>
          </w:p>
        </w:tc>
        <w:tc>
          <w:tcPr>
            <w:tcW w:w="740" w:type="dxa"/>
            <w:vAlign w:val="bottom"/>
          </w:tcPr>
          <w:p>
            <w:pPr>
              <w:jc w:val="right"/>
              <w:spacing w:after="0"/>
              <w:rPr>
                <w:sz w:val="20"/>
                <w:szCs w:val="20"/>
                <w:color w:val="auto"/>
              </w:rPr>
            </w:pPr>
            <w:r>
              <w:rPr>
                <w:rFonts w:ascii="Arial" w:cs="Arial" w:eastAsia="Arial" w:hAnsi="Arial"/>
                <w:sz w:val="16"/>
                <w:szCs w:val="16"/>
                <w:color w:val="auto"/>
              </w:rPr>
              <w:t>468,775</w:t>
            </w: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95,841</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372,934</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Professional Services Employees</w:t>
            </w:r>
            <w:r>
              <w:rPr>
                <w:rFonts w:ascii="Arial" w:cs="Arial" w:eastAsia="Arial" w:hAnsi="Arial"/>
                <w:sz w:val="23"/>
                <w:szCs w:val="23"/>
                <w:color w:val="auto"/>
                <w:vertAlign w:val="superscript"/>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408,942</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78,769</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330,173</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line="202" w:lineRule="exact"/>
              <w:rPr>
                <w:sz w:val="20"/>
                <w:szCs w:val="20"/>
                <w:color w:val="auto"/>
              </w:rPr>
            </w:pPr>
            <w:r>
              <w:rPr>
                <w:rFonts w:ascii="Arial" w:cs="Arial" w:eastAsia="Arial" w:hAnsi="Arial"/>
                <w:sz w:val="14"/>
                <w:szCs w:val="14"/>
                <w:color w:val="auto"/>
              </w:rPr>
              <w:t>All Other Non-Employee Selling Stockholders</w:t>
            </w:r>
            <w:r>
              <w:rPr>
                <w:rFonts w:ascii="Arial" w:cs="Arial" w:eastAsia="Arial" w:hAnsi="Arial"/>
                <w:sz w:val="23"/>
                <w:szCs w:val="23"/>
                <w:color w:val="auto"/>
                <w:vertAlign w:val="superscript"/>
              </w:rPr>
              <w:t>(23)</w:t>
            </w:r>
          </w:p>
        </w:tc>
        <w:tc>
          <w:tcPr>
            <w:tcW w:w="740" w:type="dxa"/>
            <w:vAlign w:val="bottom"/>
          </w:tcPr>
          <w:p>
            <w:pPr>
              <w:jc w:val="right"/>
              <w:spacing w:after="0"/>
              <w:rPr>
                <w:sz w:val="20"/>
                <w:szCs w:val="20"/>
                <w:color w:val="auto"/>
              </w:rPr>
            </w:pPr>
            <w:r>
              <w:rPr>
                <w:rFonts w:ascii="Arial" w:cs="Arial" w:eastAsia="Arial" w:hAnsi="Arial"/>
                <w:sz w:val="16"/>
                <w:szCs w:val="16"/>
                <w:color w:val="auto"/>
              </w:rPr>
              <w:t>899,773</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w:t>
            </w:r>
          </w:p>
        </w:tc>
        <w:tc>
          <w:tcPr>
            <w:tcW w:w="560" w:type="dxa"/>
            <w:vAlign w:val="bottom"/>
          </w:tcPr>
          <w:p>
            <w:pPr>
              <w:jc w:val="right"/>
              <w:spacing w:after="0"/>
              <w:rPr>
                <w:sz w:val="20"/>
                <w:szCs w:val="20"/>
                <w:color w:val="auto"/>
              </w:rPr>
            </w:pPr>
            <w:r>
              <w:rPr>
                <w:rFonts w:ascii="Arial" w:cs="Arial" w:eastAsia="Arial" w:hAnsi="Arial"/>
                <w:sz w:val="16"/>
                <w:szCs w:val="16"/>
                <w:color w:val="auto"/>
              </w:rPr>
              <w:t>70,372</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829,401</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All Other Employees Selling Stockholders</w:t>
            </w:r>
            <w:r>
              <w:rPr>
                <w:rFonts w:ascii="Arial" w:cs="Arial" w:eastAsia="Arial" w:hAnsi="Arial"/>
                <w:sz w:val="23"/>
                <w:szCs w:val="23"/>
                <w:color w:val="auto"/>
                <w:vertAlign w:val="superscript"/>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750,828</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137,150</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613,678</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outstanding shares of our common stock.</w:t>
      </w:r>
    </w:p>
    <w:p>
      <w:pPr>
        <w:spacing w:after="0" w:line="22" w:lineRule="exact"/>
        <w:rPr>
          <w:sz w:val="20"/>
          <w:szCs w:val="20"/>
          <w:color w:val="auto"/>
        </w:rPr>
      </w:pPr>
    </w:p>
    <w:p>
      <w:pPr>
        <w:ind w:left="540" w:right="140" w:hanging="424"/>
        <w:spacing w:after="0" w:line="265"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7"/>
          <w:szCs w:val="17"/>
          <w:color w:val="auto"/>
        </w:rPr>
        <w:t>Consists of (a) 765,000 shares of common stock held by Mr. Naudé, (b) 500,000 shares of common stock issuable upon exercise of options held by Mr. Naudé that are vested and exercisable as of August 31, 2020 or will become vested and exercisable within 60 days of such date and (c) 25,000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4"/>
          <w:szCs w:val="14"/>
          <w:color w:val="auto"/>
        </w:rPr>
      </w:pPr>
    </w:p>
    <w:p>
      <w:pPr>
        <w:ind w:left="540" w:right="60" w:hanging="424"/>
        <w:spacing w:after="0" w:line="265"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7"/>
          <w:szCs w:val="17"/>
          <w:color w:val="auto"/>
        </w:rPr>
        <w:t>Consists of (a) 70,037 shares of common stock held by Mr. Glover, (b) 209,945 shares of common stock issuable upon exercise of options held by Mr. Glover that are vested and exercisable as of August 31, 2020 or will become vested and exercisable within 60 days of such date, and (c) 12,500 shares of common stock to be issued pursuant to RSUs for which the time-based vesting condition has been or will be met within 60 days of August 31, 2020 and for which the liquidity-based vesting condition has already been satisfied.</w:t>
      </w:r>
    </w:p>
    <w:p>
      <w:pPr>
        <w:jc w:val="both"/>
        <w:ind w:left="540" w:right="46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(a) 32,250 shares of common stock held by Mr. Collins, and (b) 2,500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5"/>
          <w:szCs w:val="15"/>
          <w:color w:val="auto"/>
        </w:rPr>
      </w:pPr>
    </w:p>
    <w:p>
      <w:pPr>
        <w:ind w:left="540" w:right="10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(a) 25,000 shares of common stock held by Mr. Doyle and (b) 2,500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5"/>
          <w:szCs w:val="15"/>
          <w:color w:val="auto"/>
        </w:rPr>
      </w:pPr>
    </w:p>
    <w:p>
      <w:pPr>
        <w:ind w:left="540" w:right="4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(a) 38,016,151 shares of common stock beneficially held by entities affiliated with Insight Partners as set forth in footnote (11) and (b) 2,500 shares of common stock to be issued pursuant to RSUs for which the time-based vesting condition has been or will be met within 60 days of August 31, 2020 and for which the liquidity-based vesting condition has already been satisfied. Mr. Horing, a member of our board of directors, disclaims beneficial ownership of the shares held of record by each of the affiliated entities of Insight Partners, except to the extent of his pecuniary interest therein, if any.</w:t>
      </w:r>
    </w:p>
    <w:p>
      <w:pPr>
        <w:spacing w:after="0" w:line="1" w:lineRule="exact"/>
        <w:rPr>
          <w:rFonts w:ascii="Arial" w:cs="Arial" w:eastAsia="Arial" w:hAnsi="Arial"/>
          <w:sz w:val="15"/>
          <w:szCs w:val="15"/>
          <w:color w:val="auto"/>
        </w:rPr>
      </w:pPr>
    </w:p>
    <w:p>
      <w:pPr>
        <w:ind w:left="540" w:right="500" w:hanging="424"/>
        <w:spacing w:after="0" w:line="26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2,500 shares of common stock to be issued pursuant to RSUs for which the time-based vesting condition has been or will be met within 60 days of August 31, 2020 and for which the liquidity-based vesting condition has already been satisfied.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4"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(a) 38,250 shares of common stock issuable upon exercise of options held by Mr. Lake that are vested and exercisable as of August 31, 2020 or will become vested and exercisable within 60 days of such date, and (b) 2,500 shares of common stock to be issued pursuant to RSUs for which the time-based vesting condition has been or will be met within 60 days of August 31, 2020 and for which the liquidity-based vesting condition has already been satisfied.</w:t>
      </w:r>
    </w:p>
    <w:p>
      <w:pPr>
        <w:spacing w:after="0" w:line="2" w:lineRule="exact"/>
        <w:rPr>
          <w:rFonts w:ascii="Arial" w:cs="Arial" w:eastAsia="Arial" w:hAnsi="Arial"/>
          <w:sz w:val="15"/>
          <w:szCs w:val="15"/>
          <w:color w:val="auto"/>
        </w:rPr>
      </w:pPr>
    </w:p>
    <w:p>
      <w:pPr>
        <w:ind w:left="540" w:right="260" w:hanging="424"/>
        <w:spacing w:after="0" w:line="250"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(a) 400,000 shares of common stock held by Mr. Lunsford and (b) 2,500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5"/>
          <w:szCs w:val="15"/>
          <w:color w:val="auto"/>
        </w:rPr>
      </w:pPr>
    </w:p>
    <w:p>
      <w:pPr>
        <w:ind w:left="540" w:right="140" w:hanging="424"/>
        <w:spacing w:after="0" w:line="250"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(a) 356,201 shares of common stock held by Mr. Ruh and (b) 2,500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5"/>
          <w:szCs w:val="15"/>
          <w:color w:val="auto"/>
        </w:rPr>
      </w:pPr>
    </w:p>
    <w:p>
      <w:pPr>
        <w:jc w:val="both"/>
        <w:ind w:left="540" w:right="200" w:hanging="424"/>
        <w:spacing w:after="0" w:line="250"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(a) 39,676,750 shares of common stock beneficially owned by our directors and executive officers, (b) 1,824,942 shares of common stock issuable upon exercise of options held by our directors and executive officers that are vested and exercisable as of August 31, 2020 or will become vested and exercisable within 60 days of such date and (c) 88,750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5"/>
          <w:szCs w:val="15"/>
          <w:color w:val="auto"/>
        </w:rPr>
      </w:pPr>
    </w:p>
    <w:p>
      <w:pPr>
        <w:ind w:left="540" w:hanging="424"/>
        <w:spacing w:after="0" w:line="281" w:lineRule="auto"/>
        <w:tabs>
          <w:tab w:leader="none" w:pos="540" w:val="left"/>
        </w:tabs>
        <w:numPr>
          <w:ilvl w:val="0"/>
          <w:numId w:val="75"/>
        </w:numPr>
        <w:rPr>
          <w:rFonts w:ascii="Arial" w:cs="Arial" w:eastAsia="Arial" w:hAnsi="Arial"/>
          <w:sz w:val="13"/>
          <w:szCs w:val="13"/>
          <w:color w:val="auto"/>
        </w:rPr>
      </w:pPr>
      <w:r>
        <w:rPr>
          <w:rFonts w:ascii="Arial" w:cs="Arial" w:eastAsia="Arial" w:hAnsi="Arial"/>
          <w:sz w:val="16"/>
          <w:szCs w:val="16"/>
          <w:color w:val="auto"/>
        </w:rPr>
        <w:t>Consists of (i) 12,562,994 shares held of record by Insight Venture Partners IX, L.P.; (ii) 6,242,246 shares held of record by Insight Venture Partners (Cayman) IX, L.P.; (iii) 1,331,048 shares held of record by Insight Venture Partners (Delaware) IX, L.P.; (iv) 250,770 shares held of record by Insight Venture Partners IX (Co-Investors), L.P.; (v) 5,105,462 shares held of record by Insight Venture Partners Growth-Buyout Coinvestment Fund, L.P.; (vi) 4,645,041 shares held of record by Insight Venture Partners Growth-Buyout Coinvestment Fund (B), L.P.; (vii) 4,104,494 shares held of record by Insight Venture Partners Growth-Buyout Coinvestment Fund (Cayman), L.P. and (viii) 3,774,096 shares held of record by Insight Venture Partners Growth-Buyout Coinvestment Fund (Delaware), L.P. Insight Holdings Group, LLC (“Holdings”) is the sole shareholder of each of Insight Venture Associates IX, Ltd. (“IVA IX Ltd”) and Insight Venture Associates Growth-Buyout Coinvestment, Ltd. (“IVA GBCF Ltd”). IVA IX Ltd is the general partner of Insight Venture Associates IX, L.P. (“IVA IX LP”), which is the general partner of Insight Venture Partners IX, L.P., Insight Venture Partners (Cayman) IX, L.P., Insight Venture Partners (Delaware) IX, L.P. and Insight Venture Partners IX (Co-Investors), L.P. (collectively “Fund IX”). IVA GBCF Ltd is the general partner of Insight Venture Associates Growth-Buyout Coinvestment, L.P. (“IVA GBCF LP”), which is the general partner of Insight Venture Partners Growth-Buyout Coinvestment Fund, L.P., Insight Venture Partners Growth-Buyout Coinvestment Fund (B), L.P., Insight Venture Partners Growth-Buyout Coinvestment Fund (Cayman), L.P. and Insight Venture Partners Growth-Buyout Coinvestment Fund (Delaware), L.P. (collectively “GBCF”). Each of Jeffrey L. Horing, Deven Parekh, Peter Sobiloff, Jeffrey Lieberman and Michael Triplett is a member of the board of managers of Holdings. Because Messrs. Horing, Parekh, Sobiloff, Lieberman and Triplett are members of the board of managers of Holdings, Holdings is the sole shareholder of each of IVA IX Ltd and IVA GBCF Ltd, IVA IX LP is the general partner of Fund IX and IVA GBCF LP is the general partner of GBCF, Messrs. Horing, Parekh, Sobiloff, Lieberman and Triplett may be deemed to share voting and dispositive power over the shares noted above. Mr. Horing, a member of our board of directors, disclaims beneficial ownership of the shares held of record by each of Fund IX and GBCF, except to the extent of his pecuniary interest therein, if any. The address for these entities is c/o Insight Partners, 1114 Avenue of the Americas, 36th Floor, New York, NY 10036.</w:t>
      </w:r>
    </w:p>
    <w:p>
      <w:pPr>
        <w:spacing w:after="0" w:line="11" w:lineRule="exact"/>
        <w:rPr>
          <w:rFonts w:ascii="Arial" w:cs="Arial" w:eastAsia="Arial" w:hAnsi="Arial"/>
          <w:sz w:val="13"/>
          <w:szCs w:val="13"/>
          <w:color w:val="auto"/>
        </w:rPr>
      </w:pPr>
    </w:p>
    <w:p>
      <w:pPr>
        <w:ind w:left="540" w:right="20" w:hanging="424"/>
        <w:spacing w:after="0" w:line="250"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10,760,469 shares of common stock held by Salesforce Ventures LLC (“Salesforce Ventures”). Salesforce may be deemed to have sole power to vote or dispose of the shares held by Salesforce Ventures. The address of Salesforce and Salesforce Ventures is Salesforce Tower, 415 Mission Street, 3rd Floor, San Francisco, California 94105.</w:t>
      </w:r>
    </w:p>
    <w:p>
      <w:pPr>
        <w:spacing w:after="0" w:line="1" w:lineRule="exact"/>
        <w:rPr>
          <w:rFonts w:ascii="Arial" w:cs="Arial" w:eastAsia="Arial" w:hAnsi="Arial"/>
          <w:sz w:val="15"/>
          <w:szCs w:val="15"/>
          <w:color w:val="auto"/>
        </w:rPr>
      </w:pPr>
    </w:p>
    <w:p>
      <w:pPr>
        <w:jc w:val="both"/>
        <w:ind w:left="540" w:right="40" w:hanging="424"/>
        <w:spacing w:after="0" w:line="302" w:lineRule="auto"/>
        <w:tabs>
          <w:tab w:leader="none" w:pos="540" w:val="left"/>
        </w:tabs>
        <w:numPr>
          <w:ilvl w:val="0"/>
          <w:numId w:val="75"/>
        </w:numPr>
        <w:rPr>
          <w:rFonts w:ascii="Arial" w:cs="Arial" w:eastAsia="Arial" w:hAnsi="Arial"/>
          <w:sz w:val="13"/>
          <w:szCs w:val="13"/>
          <w:color w:val="auto"/>
        </w:rPr>
      </w:pPr>
      <w:r>
        <w:rPr>
          <w:rFonts w:ascii="Arial" w:cs="Arial" w:eastAsia="Arial" w:hAnsi="Arial"/>
          <w:sz w:val="16"/>
          <w:szCs w:val="16"/>
          <w:color w:val="auto"/>
        </w:rPr>
        <w:t>Consists of 781,995 shares held by Bay Pond Partners, L.P., 569,854 shares held by Bay Pond Investors (Bermuda) L.P., 2,937,500 shares held by Hadley Harbor Master Investors (Cayman) II L.P., 148,890 shares held by Wolf Creek Partners, L.P., 142,375 shares held by Wolf Creek Investors (Bermuda) L.P. and 3,134,709 shares held by Ithan Creek Master Investors (Cayman) L.P. Wellington Management Company LLP</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83" w:lineRule="auto"/>
        <w:rPr>
          <w:sz w:val="20"/>
          <w:szCs w:val="20"/>
          <w:color w:val="auto"/>
        </w:rPr>
      </w:pPr>
      <w:r>
        <w:rPr>
          <w:rFonts w:ascii="Arial" w:cs="Arial" w:eastAsia="Arial" w:hAnsi="Arial"/>
          <w:sz w:val="16"/>
          <w:szCs w:val="16"/>
          <w:color w:val="auto"/>
        </w:rPr>
        <w:t>(“Wellington Management”) is the investment adviser of Bay Pond Partners, L.P., MML Small Cap Growth Equity Fund, Bay Pond Investors (Bermuda) L.P., Hadley Harbor Master Investors (Cayman) L.P., Wolf Creek Partners, L.P., Wolf Creek Investors (Bermuda) L.P. and Ithan Creek Master Investors (Cayman) L.P. (the “Wellington Clients”). Wellington Management is an investment adviser registered under the Investment Advisers Act of 1940. Under Section 13(d) of the Securities Exchange Act of 1934, as amended, and Rule 13d-3 thereunder, Wellington Management shares beneficial ownership over shares beneficial ownership over the shares held by the Wellington Clients; however, Wellington Management is a legal entity and not a natural person. The business address of Bay Pond Partners, L.P., Bay Pond Investors (Bermuda) L.P., Hadley Harbor Master Investors (Cayman) II L.P., Wolf Creek Partners, L.P., Wolf Creek Investors (Bermuda) L.P. and Ithan Creek Master Investors (Cayman) L.P. is c/o Wellington Management Company, Attn: Valerie Tipping, 280 Congress St, Boston, MA 02210.</w:t>
      </w:r>
    </w:p>
    <w:p>
      <w:pPr>
        <w:spacing w:after="0" w:line="5" w:lineRule="exact"/>
        <w:rPr>
          <w:sz w:val="20"/>
          <w:szCs w:val="20"/>
          <w:color w:val="auto"/>
        </w:rPr>
      </w:pPr>
    </w:p>
    <w:p>
      <w:pPr>
        <w:ind w:left="540" w:hanging="424"/>
        <w:spacing w:after="0" w:line="250" w:lineRule="auto"/>
        <w:tabs>
          <w:tab w:leader="none" w:pos="54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Consists of (a) 644,718 shares held of record by James S. Mahan III Revocable Trust under agreement dated August 22, 2006 for which James S. Mahan III is the trustee, (b) 400,000 shares held of record by James S. Mahan III 2011 Irrevocable Trust for which Mr. Mahan is a co-trustee with his spouse, Marguerite D. Mahan and (d) 575,000 shares held of record by Peapod II LLC for which Mr. Mahan is deemed to hold joint voting and dispositive power with his spouse, Ms. Mahan.</w:t>
      </w:r>
    </w:p>
    <w:p>
      <w:pPr>
        <w:spacing w:after="0" w:line="2" w:lineRule="exact"/>
        <w:rPr>
          <w:rFonts w:ascii="Arial" w:cs="Arial" w:eastAsia="Arial" w:hAnsi="Arial"/>
          <w:sz w:val="15"/>
          <w:szCs w:val="15"/>
          <w:color w:val="auto"/>
        </w:rPr>
      </w:pPr>
    </w:p>
    <w:p>
      <w:pPr>
        <w:ind w:left="540" w:right="60" w:hanging="424"/>
        <w:spacing w:after="0" w:line="250" w:lineRule="auto"/>
        <w:tabs>
          <w:tab w:leader="none" w:pos="54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Consists of (a) 590,686 shares held of record by the Marguerite D. Mahan Revocable Trust under agreement dated August 22, 2006 for which Marguerite D. Mahan is the trustee, (b) 400,000 shares held of record by James S. Mahan III 2011 Irrevocable Trust for which Ms. Mahan is a co-trustee with her spouse, James S. Mahan III and (c) 575,000 shares held of record by Peapod II LLC for which Ms. Mahan is deemed to hold joint voting and dispositive power with her spouse, Mr. Mahan.</w:t>
      </w:r>
    </w:p>
    <w:p>
      <w:pPr>
        <w:ind w:left="540" w:right="560" w:hanging="424"/>
        <w:spacing w:after="0" w:line="251" w:lineRule="auto"/>
        <w:tabs>
          <w:tab w:leader="none" w:pos="54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Consists of (a) 1,025,833 shares held of record by Neil Underwood and (b) 63,257 shares held of record by NU Equity LLC, for which Mr. Underwood is deemed to hold voting and dispositive power.</w:t>
      </w:r>
    </w:p>
    <w:p>
      <w:pPr>
        <w:ind w:left="540" w:right="280" w:hanging="424"/>
        <w:spacing w:after="0" w:line="250" w:lineRule="auto"/>
        <w:tabs>
          <w:tab w:leader="none" w:pos="54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Consists of (a) 635,100 shares held by Ronald A. Tetenbaum, (b) 100,000 shares held of record by Ronald A. Tetenbaum, TEE of Benjamin A. Tetenbaum Irr. Trust 6-17-2020 and (c) Ronald A. Tetenbaum, TEE of Eric J. Tetenbaum Irr. Trust 6-17-2020.</w:t>
      </w:r>
    </w:p>
    <w:p>
      <w:pPr>
        <w:ind w:left="540" w:right="500" w:hanging="424"/>
        <w:spacing w:after="0" w:line="250" w:lineRule="auto"/>
        <w:tabs>
          <w:tab w:leader="none" w:pos="54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Consists of (a) 579,049 shares held of record by Russell M. Carter and (b) 172,655 shares held of record by Russell M. Carter 2018 Grantor Retained Annuity Trust, for which Mr. Carter is deemed to hold voting and dispositive power.</w:t>
      </w:r>
    </w:p>
    <w:p>
      <w:pPr>
        <w:ind w:left="540" w:right="40" w:hanging="424"/>
        <w:spacing w:after="0" w:line="281" w:lineRule="auto"/>
        <w:tabs>
          <w:tab w:leader="none" w:pos="540" w:val="left"/>
        </w:tabs>
        <w:numPr>
          <w:ilvl w:val="0"/>
          <w:numId w:val="76"/>
        </w:numPr>
        <w:rPr>
          <w:rFonts w:ascii="Arial" w:cs="Arial" w:eastAsia="Arial" w:hAnsi="Arial"/>
          <w:sz w:val="13"/>
          <w:szCs w:val="13"/>
          <w:color w:val="auto"/>
        </w:rPr>
      </w:pPr>
      <w:r>
        <w:rPr>
          <w:rFonts w:ascii="Arial" w:cs="Arial" w:eastAsia="Arial" w:hAnsi="Arial"/>
          <w:sz w:val="16"/>
          <w:szCs w:val="16"/>
          <w:color w:val="auto"/>
        </w:rPr>
        <w:t>Consists of (a) 40,160 shares of common stock held by Mr. Babka and (b) 334,840 shares of common stock issuable upon exercise of options held by Mr. Babka that are vested and exercisable as of August 31, 2020 or will become vested and exercisable within 60 days of such date.</w:t>
      </w:r>
    </w:p>
    <w:p>
      <w:pPr>
        <w:spacing w:after="0" w:line="1" w:lineRule="exact"/>
        <w:rPr>
          <w:rFonts w:ascii="Arial" w:cs="Arial" w:eastAsia="Arial" w:hAnsi="Arial"/>
          <w:sz w:val="13"/>
          <w:szCs w:val="13"/>
          <w:color w:val="auto"/>
        </w:rPr>
      </w:pPr>
    </w:p>
    <w:p>
      <w:pPr>
        <w:ind w:left="540" w:right="260" w:hanging="424"/>
        <w:spacing w:after="0" w:line="249" w:lineRule="auto"/>
        <w:tabs>
          <w:tab w:leader="none" w:pos="54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Carlos Parajon, Charles A. Paul, III, Jon Vincent and William Cameron are deemed to share voting and dispositive power over the shares noted above.</w:t>
      </w:r>
    </w:p>
    <w:p>
      <w:pPr>
        <w:spacing w:after="0" w:line="1" w:lineRule="exact"/>
        <w:rPr>
          <w:rFonts w:ascii="Arial" w:cs="Arial" w:eastAsia="Arial" w:hAnsi="Arial"/>
          <w:sz w:val="15"/>
          <w:szCs w:val="15"/>
          <w:color w:val="auto"/>
        </w:rPr>
      </w:pPr>
    </w:p>
    <w:p>
      <w:pPr>
        <w:ind w:left="540" w:right="80" w:hanging="424"/>
        <w:spacing w:after="0" w:line="282" w:lineRule="auto"/>
        <w:tabs>
          <w:tab w:leader="none" w:pos="540" w:val="left"/>
        </w:tabs>
        <w:numPr>
          <w:ilvl w:val="0"/>
          <w:numId w:val="76"/>
        </w:numPr>
        <w:rPr>
          <w:rFonts w:ascii="Arial" w:cs="Arial" w:eastAsia="Arial" w:hAnsi="Arial"/>
          <w:sz w:val="13"/>
          <w:szCs w:val="13"/>
          <w:color w:val="auto"/>
        </w:rPr>
      </w:pPr>
      <w:r>
        <w:rPr>
          <w:rFonts w:ascii="Arial" w:cs="Arial" w:eastAsia="Arial" w:hAnsi="Arial"/>
          <w:sz w:val="16"/>
          <w:szCs w:val="16"/>
          <w:color w:val="auto"/>
        </w:rPr>
        <w:t>Consists of (a) 35,339 shares held of record by John P. Blevins, (b) 117,848 shares held of record by Maximus LLC, for which Mr. Blevins serves as the managing member and (c) 50,505 shares held of record by TD Ameritrade Clearing Inc. Cust FBO John Paul Blevins Jr. Roth IRA.</w:t>
      </w:r>
    </w:p>
    <w:p>
      <w:pPr>
        <w:ind w:left="540" w:right="260" w:hanging="424"/>
        <w:spacing w:after="0" w:line="250" w:lineRule="auto"/>
        <w:tabs>
          <w:tab w:leader="none" w:pos="54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Consists of (a) 76,552 shares held of record by Katherine Groat and (b) 35,950 shares held of record by Brian J. Groat &amp; Katherine M. Groat Jt Ten.</w:t>
      </w:r>
    </w:p>
    <w:p>
      <w:pPr>
        <w:jc w:val="both"/>
        <w:ind w:left="540" w:right="200" w:hanging="424"/>
        <w:spacing w:after="0" w:line="255" w:lineRule="auto"/>
        <w:tabs>
          <w:tab w:leader="none" w:pos="54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Consists of selling stockholders not otherwise listed on this table who collectively own less than 1% of our common stock. The amounts do not include additional equity awards for common stock that are not exercisable, or for which any service condition would not be satisfied, within 60 days of August 31, 2020.</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This section contains a description of our capital stock and the material provisions of our amended and restated certificate of incorporation and bylaws filed as exhibits to the registration statement relating to this prospectus, and is qualified by reference to our amended and restated certificate of incorporation and bylaws, and by the applicable provisions of Delaware law.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Our amended and restated certificate of incorporation authorizes 500,000,000 shares of common stock, $0.0005 par value per share, and 10,000,000 shares of undesignated preferred stock, $0.001 par value per share, the rights, preferences and privileges of which may be designated from time to time by our board of directors.</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As of July 31, 2020, there were outstanding 91,122,356 shares of our common stock, held by approximately 412 stockholders of record, and 24,785,528 shares of our common stock issuable upon exercise of outstanding stock options and restricted stock units. As of July 31, 2020, there were no outstanding shares of our preferred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The holders of our common stock are entitled to one vote per share. Stockholders do not have the ability to cumulate votes for the election of directors. Our amended and restated certificate of incorporation and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Pursuant to our amended and restated certificate of incorporation, our board of directors is authorized, subject to limitations prescribed by Delaware law, to issue preferred stock in one or more series, to establish from</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 and Restricted Stock Units</w:t>
      </w:r>
    </w:p>
    <w:p>
      <w:pPr>
        <w:spacing w:after="0" w:line="22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As of July 31, 2020, we had outstanding options to purchase an aggregate of 7,464,094 shares of our common stock, with a weighted-average exercise price of $5.48 per share, 17,500 shares of common stock subject to vested RSUs at a weighted-average grant date fair value of $20.00 per share, and 2,041,093 shares of common stock issuable upon vesting of RSU awards, with a weighted-average grant date fair value of $20.84 per share, pursuant to our equity incentive plans.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Following the completion of this offering, assuming no exercise by the underwriters of their option to purchase additional shares, the holders of an aggregate of 60,145,964 shares of our common stock, or their permitted transferees, will be entitled to rights with respect to the registration of these shares under the Securities Act. These shares are referred to as registrable securities. These rights are provided under the terms of our IRA, which registration rights include demand registration rights, Form S-3 registration rights and piggyback registration rights. All fees, costs and expenses incurred in connection with the registration of registrable securities, including reasonable fees and disbursements of one special counsel to the selling stockholders, will be borne by us and all selling expenses, including underwriting discounts and selling commissions, will be borne by the holders of the shares being registered.</w:t>
      </w:r>
    </w:p>
    <w:p>
      <w:pPr>
        <w:spacing w:after="0" w:line="19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The registration rights terminate upon the fifth anniversary of the completion of our IPO. See the section titled “Certain Relationships and Related Party Transactions—Investors Rights Agreement” for additional information regarding the IRA.</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The provisions of the DGCL, our amended and restated certificate of incorporation and our bylaws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combination between a corporation and an interested stockholder is prohibited unless it satisfies one of the following conditions:</w:t>
      </w:r>
    </w:p>
    <w:p>
      <w:pPr>
        <w:spacing w:after="0" w:line="252" w:lineRule="exact"/>
        <w:rPr>
          <w:sz w:val="20"/>
          <w:szCs w:val="20"/>
          <w:color w:val="auto"/>
        </w:rPr>
      </w:pPr>
    </w:p>
    <w:p>
      <w:pPr>
        <w:ind w:left="1420" w:right="200" w:hanging="319"/>
        <w:spacing w:after="0" w:line="27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1420" w:right="60" w:hanging="319"/>
        <w:spacing w:after="0" w:line="301" w:lineRule="auto"/>
        <w:tabs>
          <w:tab w:leader="none" w:pos="1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84" w:lineRule="exact"/>
        <w:rPr>
          <w:rFonts w:ascii="Arial" w:cs="Arial" w:eastAsia="Arial" w:hAnsi="Arial"/>
          <w:sz w:val="16"/>
          <w:szCs w:val="16"/>
          <w:color w:val="auto"/>
        </w:rPr>
      </w:pPr>
    </w:p>
    <w:p>
      <w:pPr>
        <w:ind w:left="1420" w:right="220" w:hanging="319"/>
        <w:spacing w:after="0" w:line="263"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Section 203 defines a business combination to include:</w:t>
      </w:r>
    </w:p>
    <w:p>
      <w:pPr>
        <w:spacing w:after="0" w:line="252" w:lineRule="exact"/>
        <w:rPr>
          <w:sz w:val="20"/>
          <w:szCs w:val="20"/>
          <w:color w:val="auto"/>
        </w:rPr>
      </w:pPr>
    </w:p>
    <w:p>
      <w:pPr>
        <w:ind w:left="1420" w:hanging="319"/>
        <w:spacing w:after="0"/>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52" w:lineRule="exact"/>
        <w:rPr>
          <w:rFonts w:ascii="Arial" w:cs="Arial" w:eastAsia="Arial" w:hAnsi="Arial"/>
          <w:sz w:val="18"/>
          <w:szCs w:val="18"/>
          <w:color w:val="auto"/>
        </w:rPr>
      </w:pPr>
    </w:p>
    <w:p>
      <w:pPr>
        <w:ind w:left="1420" w:right="78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our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Board Vacancies</w:t>
      </w:r>
    </w:p>
    <w:p>
      <w:pPr>
        <w:spacing w:after="0" w:line="225"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Our amended and restated certificate of incorporation and bylaws authorize generally 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Classified Board</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Directors Removed Only for Cause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amended and restated certificate of incorporation provides that stockholders may remove directors only for cause.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Supermajority Requirements for Amendments of Our Amended and Restated Certificate of Incorporation and Bylaws</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Our amended and restated certificate of incorporation further provides that the affirmative vote of holders of at least two-thirds of the voting power of our outstanding common stock is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 common stock is required to amend or repeal our bylaws, although our bylaws may be amended by a simple majority vote of our board of directors.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Stockholder Action; Special Meetings of Stockholders</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Our amended and restated certificate of incorporation provides that our stockholders may not take action by written consent, but may only take action at annual or special meetings of our stockholders. As a result, holders of our capital stock will not be able to amend our bylaws or remove directors without holding a meeting of our stockholders called in accordance with our bylaws. Our amended and restated certificate of incorporation and our bylaws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Our bylaws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90th day nor earlier than the close of business on the 120th day prior to the first anniversary of the preceding year’s annual meeting of stockholders. Our bylaws also specify certain requirements regarding the form and content of a stockholder’s notice. With respect to nominations of persons for election to our board of directors, 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 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notice is made, or the proposing persons. In addition, a stockholder’s notice must set forth certain information related to the proposing persons, including, among other things:</w:t>
      </w:r>
    </w:p>
    <w:p>
      <w:pPr>
        <w:spacing w:after="0" w:line="197" w:lineRule="exact"/>
        <w:rPr>
          <w:sz w:val="20"/>
          <w:szCs w:val="20"/>
          <w:color w:val="auto"/>
        </w:rPr>
      </w:pPr>
    </w:p>
    <w:p>
      <w:pPr>
        <w:ind w:left="1420" w:hanging="319"/>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name and address of the proposing persons;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information as to the ownership by the proposing persons of our capital stock and any derivative interest or short interest in any of our securities held by the proposing persons;</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information as to any material relationships and interest between the proposing persons and us, any of our affiliates and any of our principal competitors;</w:t>
      </w:r>
    </w:p>
    <w:p>
      <w:pPr>
        <w:spacing w:after="0" w:line="197"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our stock entitled to vote at that meeting and that the stockholder intends to appear in person or by proxy at the meeting to propose such nomination or business; and</w:t>
      </w:r>
    </w:p>
    <w:p>
      <w:pPr>
        <w:spacing w:after="0" w:line="197" w:lineRule="exact"/>
        <w:rPr>
          <w:rFonts w:ascii="Arial" w:cs="Arial" w:eastAsia="Arial" w:hAnsi="Arial"/>
          <w:sz w:val="18"/>
          <w:szCs w:val="18"/>
          <w:color w:val="auto"/>
        </w:rPr>
      </w:pPr>
    </w:p>
    <w:p>
      <w:pPr>
        <w:ind w:left="1420" w:right="380" w:hanging="319"/>
        <w:spacing w:after="0" w:line="342" w:lineRule="auto"/>
        <w:tabs>
          <w:tab w:leader="none" w:pos="14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representation whether the proposing persons intend or are part of a group which intends to deliver a proxy statement or form of proxy to holders of at least the percentage of our outstanding capital stock required to elect the nominee or carry the proposal.</w:t>
      </w:r>
    </w:p>
    <w:p>
      <w:pPr>
        <w:spacing w:after="0" w:line="124"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No Cumulative Voting</w:t>
      </w:r>
    </w:p>
    <w:p>
      <w:pPr>
        <w:spacing w:after="0" w:line="225"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The DGCL provides that stockholders are not entitled to the right to cumulate votes in the election of directors unless a corporation’s certificate of incorporation provides otherwise. Our amended and restated certificate of incorporation and bylaws do not provide for cumulative voting.</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board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Exclusive Forum</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our amended and restated certificate of incorporation or bylaws, (4) any other action asserting a claim that is governed by the internal affairs doctrine shall be the Court of Chancery of the State of Delaware (or, if the Court of Chancery does not have jurisdiction, the federal district court for the District of Delaware) or (5) any other action asserting an “internal corporate claim,” as defined in Section 115 of the Delaware General Corporation Law, in all cases subject to the court having jurisdiction over indispensable parties named as defendants. Our amended and restated certificate of incorporation will also provide that, unless we consent in writing to the selection of an alternative forum, the federal district courts of the United States shall be the exclusive forum for the resolution of any complaint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asserting a cause of action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250 Royall Street, Canton, MA 02021, and its telephone number is (800) 962-4284.</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common stock is listed on The Nasdaq Global Select Market under the symbol “NCNO.”</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Future sales of substantial amounts of our common stock in the public market, the perception that such sales may occur, or the availability of such shares for sale in the public market, could adversely affect market prices prevailing from time to time and our ability to raise equity capital in the future. We cannot predict the effect, if any, that market sales of our common stock or the availability of our common stock for sale will have on the market price of our common stock prevailing from time to time.</w:t>
      </w:r>
    </w:p>
    <w:p>
      <w:pPr>
        <w:spacing w:after="0" w:line="187"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We had 91,122,356 shares of common stock outstanding as of July 31, 2020. Of those outstanding shares, 9,269,000 shares of common stock sold in the IPO and 5,500,000 shares sold in this offering will be freely tradeable, except that any shares acquired by our affiliates, as that term is defined in Rule 144 under the Securities Act, would only be able to be sold in compliance with the Rule 144 limitations described below.</w:t>
      </w:r>
    </w:p>
    <w:p>
      <w:pPr>
        <w:spacing w:after="0" w:line="14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remaining outstanding common stock will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Underwriter Lock-Up Agreements</w:t>
      </w:r>
    </w:p>
    <w:p>
      <w:pPr>
        <w:spacing w:after="0" w:line="225" w:lineRule="exact"/>
        <w:rPr>
          <w:sz w:val="20"/>
          <w:szCs w:val="20"/>
          <w:color w:val="auto"/>
        </w:rPr>
      </w:pPr>
    </w:p>
    <w:p>
      <w:pPr>
        <w:ind w:left="120" w:right="380" w:firstLine="881"/>
        <w:spacing w:after="0" w:line="296" w:lineRule="auto"/>
        <w:rPr>
          <w:sz w:val="20"/>
          <w:szCs w:val="20"/>
          <w:color w:val="auto"/>
        </w:rPr>
      </w:pPr>
      <w:r>
        <w:rPr>
          <w:rFonts w:ascii="Arial" w:cs="Arial" w:eastAsia="Arial" w:hAnsi="Arial"/>
          <w:sz w:val="16"/>
          <w:szCs w:val="16"/>
          <w:color w:val="auto"/>
        </w:rPr>
        <w:t>In connection with our IPO, each of our directors, executive officers and holders of substantially all of our outstanding equity securities entered into lock-up agreements with the Representatives which restrict their ability to sell or transfer their shares until January 9, 2021, subject to certain exceptions (the “Underwriter Lock-up Agreements”). The Representatives may, in their sole discretion, waive the Underwriter Lock-up Agreements before the expiration of the lock-up period. In order to effect this offering, the Representatives intend to release the applicable lock-up restrictions set forth in the Underwriter Lock-up Agreements solely with respect to any shares to be sold by the selling stockholders in this offering.</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Company Lock-Up Agreements</w:t>
      </w:r>
    </w:p>
    <w:p>
      <w:pPr>
        <w:spacing w:after="0" w:line="225"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As of July 31, 2020, we had 91,122,356 shares of common stock outstanding. In connection with our IPO, certain stockholders entered into lock-up agreements with us which restrict their ability to sell or transfer their shares until January 9, 2021, subject to certain exceptions (the “Company Lock-up Agreements”). Concurrently with the pricing of this offering, we have agreed to a partial release of shares held by these stockholders that are currently subject to the Company Lock-up Agreements, in an aggregate amount of approximately 370,000 shares of common stock. This release is contingent upon the pricing of this offering, but upon such pricing, such shares of common stock that are released will become freely tradable subject to applicable securities laws.</w:t>
      </w:r>
    </w:p>
    <w:p>
      <w:pPr>
        <w:spacing w:after="0" w:line="192"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Only the shares of common stock sold in our IPO, sold in this offering or released as described in the preceding two paragraphs will be freely tradable, without restriction, in the public market immediately after this offering. Each of our directors, executive officers and selling stockholders are subject to lock-up agreements that restrict their ability to sell or transfer their shares until the later of 90 days after the date of this prospectus or January 9, 2021, subject to certain exceptions.</w:t>
      </w:r>
    </w:p>
    <w:p>
      <w:pPr>
        <w:spacing w:after="0" w:line="187"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After the lock-up agreements expire, all 91,122,356 shares outstanding as of July 31, 2020 will be eligible for sale in the public market, of which, after giving effect to the sale of shares in this offering, 49,706,975 shares are held by directors, executive officers and other affiliates and will be subject to volume limitations under Rule 144 of the Securities Act, and various vesting agreements. Sales of a substantial number of such shares upon the concurrent release of lock-up restrictions in connection with this offering or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expiration or any future earlier release of the lock-up and market stand-off agreements or, the perception that such sales may occur, could cause our market price to fall or make it more difficult for you to sell your common stock at a time and price that you deem appropriate.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After the expiration of the applicable lock-up agreements described above, sales of shares of our common stock held by pre-IPO investors, directors, executive officers and affiliates will be subject to Rule 144.</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common stock proposed to be sold for at least one year, including the holding period of any prior owner other than our affiliates, then that person would be entitled to sell those shares without complying with any of the requirements of Rule 144.</w:t>
      </w:r>
    </w:p>
    <w:p>
      <w:pPr>
        <w:spacing w:after="0" w:line="19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In general, Rule 144 provides that our affiliates or persons selling our common stock on behalf of our affiliates are entitled to sell upon expiration of the market standoff agreements and lock-up agreements described above, within any three-month period, a number of our common stock that does not exceed the greater of:</w:t>
      </w:r>
    </w:p>
    <w:p>
      <w:pPr>
        <w:spacing w:after="0" w:line="211" w:lineRule="exact"/>
        <w:rPr>
          <w:sz w:val="20"/>
          <w:szCs w:val="20"/>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 of the number of our common stock then outstanding, which equals 911,223 shares as of July 31, 2020; or</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color w:val="auto"/>
        </w:rPr>
        <w:t>Sales of our common stock made in reliance upon Rule 144 by our affiliates or persons selling our common stock on behalf of our affiliates are also subject to certain manner of sale provisions and notice requirements and to the availability of current public information about us.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Rule 701 generally allows a stockholder who purchased our common stock pursuant to a written compensatory plan or contract prior to the effective date of our IPO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effective date of our IPO before selling those shares pursuant to Rule 701.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260" w:firstLine="881"/>
        <w:spacing w:after="0" w:line="257" w:lineRule="auto"/>
        <w:rPr>
          <w:sz w:val="20"/>
          <w:szCs w:val="20"/>
          <w:color w:val="auto"/>
        </w:rPr>
      </w:pPr>
      <w:r>
        <w:rPr>
          <w:rFonts w:ascii="Arial" w:cs="Arial" w:eastAsia="Arial" w:hAnsi="Arial"/>
          <w:sz w:val="18"/>
          <w:szCs w:val="18"/>
          <w:color w:val="auto"/>
        </w:rPr>
        <w:t>Following the completion of this offering, assuming no exercise by the underwriters of their option to purchase additional shares, the holders of an aggregate of 60,145,964 shares of our common stock are entitled to rights with respect to the registration of these shares under the Securities Act. These shares are referred to as registrable securities. These rights are provided under the terms of our IRA, which registration rights include demand registration rights, Form S-3 registration rights and piggyback registration rights. All fees, costs and expenses incurred in connection with the registration of registrable securities, including reasonable fees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disbursements of one special counsel to the selling stockholders, will be borne by us and all selling expenses, including underwriting discounts and selling commissions, will be borne by the holders of the shares being registered.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registration rights terminate upon the fifth anniversary of the completion of our IPO.</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Under the terms of the IRA, if we receive a written request, at any time after January 9, 2021, which is 180 days following the effective date of our IPO, from the holders of at least a majority of the registrable securities then outstanding that we file a registration statement under the Securities Act covering the registration of registrable securities and if the aggregate price to the public of the shares offered is at least $15.0 million, then we will be required to file as soon as practicable, and in any event no later than 60 days following such request, a registration statement covering all registrable securities requested to be registered for public resale. We may defer the filing of a registration statement for up to 60 days once in any 12-month period if our board of directors determines that the filing would be seriously detrimental to us and our stockholders. We are not required to effect a demand registration under certain additional circumstances specified in the IRA, including at any time during the 180-day period after the effective date of this offering.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holders of at least 20% of the then registrable securities can request that we register all or part of their shares on Form S-3 if we are eligible to file a registration statement on Form S-3 and if the aggregate price to the public of the shares offered is at least $3.0 million. Upon such a request, we would be required to file as soon as practicable, and in any event no later than 45 days following such a request, a registration statement covering all registrable securities requested to be registered for public resale. We are not required to file a registration on Form S-3 if we have filed two registrations on Form S-3 in the preceding 12-month period and may postpone the filing of a registration statement on Form S-3 for up to 60 days twice in any 12-month period if our board of directors determines that the filing would be seriously detrimental to us and our stockholders. We are not required to file a registration statement on Form S-3 under certain additional circumstances specified in the IRA.</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If we register any of our securities for public sale, each holder of registrable securities has a right to request the inclusion of any then-outstanding registrable securities held by them on our registration statement. However, this right does not apply to a registration relating solely to employee benefit plans, a corporate reorganization or stock issuable upon conversion of debt securities. The Company has the right to terminate or withdraw any registration, whether or not any registrable securities has been elected to be included. If the underwriters of any underwritten offering determine in their reasonable discretion to limit the number of registrable securities to be included in such underwritten offering, the number of registrable securities to be registered will be apportioned pro rata among such holders, based on the number of registrable securities held by each holder. However, the number of registrable securities to be registered cannot be reduced unless all other securities are first entirely excluded from the underwriting.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S-8 Registration Statement</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On July 17, 2020, we filed a Form S-8 registration statement under the Securities Act to register shares of our common stock subject to options outstanding, as well as reserved for future issuance, under our equity compensation plans. The shares covered by this registration statement are eligible for sale in the public market, subject to the Rule 144 limitations applicable to affiliates, vesting restrictions and any applicable market standoff agreements and lock-up agreements. See the section titled “Executive Compensation—Equity Compensation Plans” for a description of our equity compensation plans.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229" w:lineRule="exact"/>
        <w:rPr>
          <w:sz w:val="20"/>
          <w:szCs w:val="20"/>
          <w:color w:val="auto"/>
        </w:rPr>
      </w:pPr>
    </w:p>
    <w:p>
      <w:pPr>
        <w:ind w:left="120" w:right="200" w:firstLine="881"/>
        <w:spacing w:after="0" w:line="296" w:lineRule="auto"/>
        <w:rPr>
          <w:sz w:val="20"/>
          <w:szCs w:val="20"/>
          <w:color w:val="auto"/>
        </w:rPr>
      </w:pPr>
      <w:r>
        <w:rPr>
          <w:rFonts w:ascii="Arial" w:cs="Arial" w:eastAsia="Arial" w:hAnsi="Arial"/>
          <w:sz w:val="16"/>
          <w:szCs w:val="16"/>
          <w:color w:val="auto"/>
        </w:rPr>
        <w:t>The following is a summary of material U.S. federal income tax consequences of the ownership and disposition of shares of our common stock as of the date hereof. Except where noted, this summary deals only with common stock that is held as a capital asset by a non-U.S. holder (as defined below). This summary is based upon provisions of the Code and regulations, rulings and judicial decisions as of the date hereof. Those authorities may be changed, perhaps retroactively, so as to result in U.S. federal income tax consequences different from those summarized below. We cannot assure you that a change in law will not alter significantly the tax considerations that we describe in this summary.</w:t>
      </w:r>
    </w:p>
    <w:p>
      <w:pPr>
        <w:spacing w:after="0" w:line="161"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 “non-U.S. holder” means a beneficial owner of shares of our common stock (other than an entity treated as a partnership for U.S. federal income tax purposes) that is not, for U.S. federal income tax purposes, any of the following:</w:t>
      </w:r>
    </w:p>
    <w:p>
      <w:pPr>
        <w:spacing w:after="0" w:line="197" w:lineRule="exact"/>
        <w:rPr>
          <w:sz w:val="20"/>
          <w:szCs w:val="20"/>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(as defined under the Code)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This summary does not address all aspects of U.S. federal income taxation that may be relevant to non-U.S. holders in light of their particular circumstances. In addition, this summary does not address the Medicare tax on certain net investment income, U.S. federal gift or estate tax laws, any state, local or non-U.S. tax laws or any tax treaties. This summary also does not address the U.S. federal income tax consequences applicable to non-U.S. holders that are subject to special treatment under the U.S. federal income tax laws, including (without limitation) former citizens or long-term residents of the United States, foreign pension funds, “controlled foreign corporations,” “passive foreign investment companies,” financial institutions, insurance companies, regulated investment companies, real estate investment trusts, mutual funds, broker-dealers, traders in securities or other persons that elect to use a mark-to-market method of accounting for their holdings in our common stock, persons who hold our common stock as “qualified small business stock” within the meaning of Section 1202 of the Code, persons who hold our common stock as a position in a hedging transaction, “straddle,” “conversion transaction,” or other risk reduction transaction or integrated investment, persons subject to the alternative minimum tax, persons who acquired our common stock through stock options or in other compensatory transactions or partnerships or other pass-through entities for U.S. federal income tax purposes.</w:t>
      </w:r>
    </w:p>
    <w:p>
      <w:pPr>
        <w:spacing w:after="0" w:line="182"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If a partnership (or other entity or arrangement treated as a partnership for U.S. federal income tax purposes) holds shares of our common stock, the tax treatment of a partner will generally depend upon the status of the partner, the activities of the partnership and certain determinations made at the partner level. Accordingly, partners in partnerships (including entities or arrangements treated as partnerships for U.S. federal income tax purposes) considering the purchase of our common stock should consult their tax advisors regarding the U.S. federal income tax considerations of the purchase, ownership and disposition of our common stock by such partnership.</w:t>
      </w:r>
    </w:p>
    <w:p>
      <w:pPr>
        <w:spacing w:after="0" w:line="176"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THIS DISCUSSION IS FOR INFORMATIONAL PURPOSES ONLY AND IS NOT TAX ADVICE. PROSPECTIVE INVESTORS ARE ENCOURAGED TO CONSULT THEIR TAX ADVISORS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RESPECT TO THE APPLICATION OF THE U.S. FEDERAL INCOME TAX LAWS TO THEIR PARTICULAR SITUATION, AS WELL AS ANY TAX CONSEQUENCES OF THE PURCHASE, OWNERSHIP AND DISPOSITION OF OUR COMMON STOCK ARISING UNDER THE U.S. FEDERAL GIFT OR ESTATE TAX LAWS OR UNDER THE LAWS OF ANY STATE, LOCAL, NON-U.S. OR OTHER TAXING JURISDICTION OR UNDER ANY APPLICABLE TAX TREATY.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Distributions of cash or property on our common stock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Please read “—Sales or other Taxable Dispositions.” Subject to the withholding rules discussed below under “—Backup Withholding and Information Reporting” and “—Additional Withholding Requirements under FATCA” and with respect to effectively connected dividends, any distribution made to a non-U.S. holder on our common stock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 properly executed IRS Form W-8BEN or IRS Form W-8BEN-E (or other applicable or successor form) certifying qualification for the reduced rate, and the non-U.S. holder will be required to update such forms and certifications from time to time as required by law. A non-U.S. holder eligible for a reduced rate of U.S. federal withholding tax pursuant to an applicable income tax treaty may be eligible to obtain a refund of any excess amounts withheld by timely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67"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If dividends paid to a non-U.S. holder are effectively connected with a trade or business conducted by the non-U.S. holder in the United States (and, if required by an applicable income tax treaty, are treated as attributable to a permanent establishment maintained by the non-U.S. holder in the United States), the non-U.S. holder will be exempt from the U.S. withholding tax described above, provided the non-U.S. holder satisfies certain certification requirements by providing the applicable withholding agent a properly executed IRS Form W-8ECI certifying eligibility for exemption, and the non-U.S. holder will be required to update such forms and certifications from time to time as required by law. Any such effectively connected dividends generally will be taxed on a net income basis at the rates and in the manner generally applicable to U.S. persons (as defined under the Code).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Non-U.S. holders should consult their tax advisors regarding any applicable income tax treaties that may provide for different rules.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or other Taxable Dispositions</w:t>
      </w:r>
    </w:p>
    <w:p>
      <w:pPr>
        <w:spacing w:after="0" w:line="22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Subject to the discussion below under “—Backup Withholding and Information Reporting”, any gain realized by a non-U.S. holder on the sale or other disposition of our common stock generally will not be subject to U.S. federal income tax unless:</w:t>
      </w:r>
    </w:p>
    <w:p>
      <w:pPr>
        <w:spacing w:after="0" w:line="197" w:lineRule="exact"/>
        <w:rPr>
          <w:sz w:val="20"/>
          <w:szCs w:val="20"/>
          <w:color w:val="auto"/>
        </w:rPr>
      </w:pPr>
    </w:p>
    <w:p>
      <w:pPr>
        <w:ind w:left="1420" w:right="60" w:hanging="319"/>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60" w:hanging="319"/>
        <w:spacing w:after="0" w:line="27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197"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and certain other conditions are met.</w:t>
      </w:r>
    </w:p>
    <w:p>
      <w:pPr>
        <w:spacing w:after="0" w:line="170"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A non-U.S. holder described in the first bullet point immediately above will be subject to tax on the gain derived from the sale or other disposition on a net income tax basis at the U.S. federal income tax rates applicable to U.S. citizens, nonresident aliens or domestic corporations, as applicable.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7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Generally, a corporation is a “United States real property holding corporation”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that we are not currently and will not become a USRPHC, and the remainder of this discussion assumes this is the case. However, because the determination of whether we are a USRPHC depends on the fair market value of our U.S. real property interests relative to the fair market value of our other business assets, there can be no assurance that we will not become a USRPHC in the future. If we are or become a USRPHC, however, so long as our common stock is regularly traded on an established securities market during the calendar year in which the sale or other disposition occurs, only a non-U.S. holder who actually or constructively holds or held (at any time during the shorter of the five-year period preceding the date of disposition or the holder’s holding period) more than 5% of our common stock will be subject to U.S. federal income tax on the sale or other disposition of our common stock.</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IRS Form W-8BEN-E or other applicable or successor form.</w:t>
      </w:r>
    </w:p>
    <w:p>
      <w:pPr>
        <w:spacing w:after="0" w:line="17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Payments of the proceeds from a sale or other disposition by a non-U.S. holder of our common stock effected by or through the office of a broker generally will be subject to information reporting and backup withholding (currently at the rate of 24%) unless the non-U.S. holder establishes an exemption by properly certifying its non-U.S. status on an IRS Form W-8BEN,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holder is not a U.S.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 Notwithstanding the foregoing, backup withholding and information reporting may apply if either we or our paying agent has actual knowledge, or reason to know, that the non-U.S. holder is a U.S. person who is not an exempt recipient under the Code and applicable Treasury regulations.</w:t>
      </w:r>
    </w:p>
    <w:p>
      <w:pPr>
        <w:spacing w:after="0" w:line="18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overpayment of taxes, a refund may be obtained, provided that the required information is timely furnished to the IRS.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(1)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(2)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and provides certain information with respect to such United States owners; or (3) the foreign financial institution or non-financial foreign entity otherwise qualifies for an exemption from these rules and provides appropriate documentation (such as an IRS Form W-8BEN-E). The Treasury Secretary has issued proposed regulations providing that the withholding provisions under FATCA do not apply with respect to gross proceeds from a sale or other disposition of our common stock, which may be relied upon by taxpayers until final regulations are issued.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1"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TAX LAWS TO THEIR PARTICULAR SITUATIONS AND THE APPLICABILITY AND EFFECT OF U.S. FEDERAL GIFT AND ESTATE TAX LAWS AND ANY STATE, LOCAL OR NON-U.S. TAX LAWS AND TAX TREATIES.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BofA Securities, Inc. and Barclays Capital Inc., are acting as representatives of each of the underwriters named below. 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9240" w:type="dxa"/>
            <w:vAlign w:val="bottom"/>
            <w:vMerge w:val="restart"/>
          </w:tcPr>
          <w:p>
            <w:pPr>
              <w:spacing w:after="0"/>
              <w:rPr>
                <w:sz w:val="14"/>
                <w:szCs w:val="14"/>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9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760" w:firstLine="881"/>
        <w:spacing w:after="0" w:line="308" w:lineRule="auto"/>
        <w:rPr>
          <w:sz w:val="20"/>
          <w:szCs w:val="20"/>
          <w:color w:val="auto"/>
        </w:rPr>
      </w:pPr>
      <w:r>
        <w:rPr>
          <w:rFonts w:ascii="Arial" w:cs="Arial" w:eastAsia="Arial" w:hAnsi="Arial"/>
          <w:sz w:val="17"/>
          <w:szCs w:val="17"/>
          <w:color w:val="auto"/>
        </w:rPr>
        <w:t>We and the selling stockholders have agreed to indemnify the underwriters against certain liabilities, including liabilities under the Securities Act, or to contribute to payments the underwriters may be required to make in respect of those liabilities.</w:t>
      </w:r>
    </w:p>
    <w:p>
      <w:pPr>
        <w:spacing w:after="0" w:line="146"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representatives have advised us and the selling stockholders that the underwriters propose initially to offer the shares to the public at the</w:t>
      </w:r>
    </w:p>
    <w:p>
      <w:pPr>
        <w:spacing w:after="0" w:line="46"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public offering price set forth on the cover page of this prospectus and to dealers at that price less a concession not in excess of $ per share. After the offering, the public offering price, concession or any other term of the offering may be changed.</w:t>
      </w:r>
    </w:p>
    <w:p>
      <w:pPr>
        <w:spacing w:after="0" w:line="185" w:lineRule="exact"/>
        <w:rPr>
          <w:sz w:val="20"/>
          <w:szCs w:val="20"/>
          <w:color w:val="auto"/>
        </w:rPr>
      </w:pPr>
    </w:p>
    <w:p>
      <w:pPr>
        <w:ind w:left="120" w:right="280" w:firstLine="881"/>
        <w:spacing w:after="0" w:line="308" w:lineRule="auto"/>
        <w:rPr>
          <w:sz w:val="20"/>
          <w:szCs w:val="20"/>
          <w:color w:val="auto"/>
        </w:rPr>
      </w:pPr>
      <w:r>
        <w:rPr>
          <w:rFonts w:ascii="Arial" w:cs="Arial" w:eastAsia="Arial" w:hAnsi="Arial"/>
          <w:sz w:val="17"/>
          <w:szCs w:val="17"/>
          <w:color w:val="auto"/>
        </w:rPr>
        <w:t>The following table shows the public offering price, underwriting discount and proceeds before expenses to the selling stockholders. The information assumes either no exercise or full exercise by the underwriters of their option to purchase additional shares.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20" w:type="dxa"/>
            <w:vAlign w:val="bottom"/>
            <w:gridSpan w:val="3"/>
            <w:vMerge w:val="restart"/>
          </w:tcPr>
          <w:p>
            <w:pPr>
              <w:ind w:left="1400"/>
              <w:spacing w:after="0"/>
              <w:rPr>
                <w:sz w:val="20"/>
                <w:szCs w:val="20"/>
                <w:color w:val="auto"/>
              </w:rPr>
            </w:pPr>
            <w:r>
              <w:rPr>
                <w:rFonts w:ascii="Arial" w:cs="Arial" w:eastAsia="Arial" w:hAnsi="Arial"/>
                <w:sz w:val="14"/>
                <w:szCs w:val="14"/>
                <w:b w:val="1"/>
                <w:bCs w:val="1"/>
                <w:color w:val="auto"/>
                <w:w w:val="91"/>
              </w:rPr>
              <w:t>Per Share</w:t>
            </w:r>
          </w:p>
        </w:tc>
        <w:tc>
          <w:tcPr>
            <w:tcW w:w="106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w w:val="99"/>
              </w:rPr>
              <w:t>Without</w:t>
            </w:r>
          </w:p>
        </w:tc>
        <w:tc>
          <w:tcPr>
            <w:tcW w:w="64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0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64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Underwriting discount paid by selling stockholders</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Proceeds to selling stockholders</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740" w:type="dxa"/>
            <w:vAlign w:val="bottom"/>
            <w:gridSpan w:val="3"/>
          </w:tcPr>
          <w:p>
            <w:pPr>
              <w:ind w:left="80"/>
              <w:spacing w:after="0"/>
              <w:rPr>
                <w:sz w:val="20"/>
                <w:szCs w:val="20"/>
                <w:color w:val="auto"/>
              </w:rPr>
            </w:pPr>
            <w:r>
              <w:rPr>
                <w:rFonts w:ascii="Arial" w:cs="Arial" w:eastAsia="Arial" w:hAnsi="Arial"/>
                <w:sz w:val="18"/>
                <w:szCs w:val="18"/>
                <w:color w:val="auto"/>
                <w:w w:val="95"/>
              </w:rPr>
              <w:t>The expenses of the offering, not including the underwriting discount, are estimated at $</w:t>
            </w:r>
          </w:p>
        </w:tc>
        <w:tc>
          <w:tcPr>
            <w:tcW w:w="2680" w:type="dxa"/>
            <w:vAlign w:val="bottom"/>
            <w:gridSpan w:val="6"/>
          </w:tcPr>
          <w:p>
            <w:pPr>
              <w:ind w:left="260"/>
              <w:spacing w:after="0"/>
              <w:rPr>
                <w:sz w:val="20"/>
                <w:szCs w:val="20"/>
                <w:color w:val="auto"/>
              </w:rPr>
            </w:pPr>
            <w:r>
              <w:rPr>
                <w:rFonts w:ascii="Arial" w:cs="Arial" w:eastAsia="Arial" w:hAnsi="Arial"/>
                <w:sz w:val="18"/>
                <w:szCs w:val="18"/>
                <w:color w:val="auto"/>
              </w:rPr>
              <w:t>million and are payable by us.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Certain selling stockholders have granted an option to the underwriters, exercisable for 30 days after the date of this prospectus, to purchase up to 825,000 additional shares at the public offering price, less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our executive officers and directors, the selling stockholders and holders of substantially all of our common stock have agreed not to sell or transfer any common stock or securities convertible into, exchangeable for, exercisable for, or repayable with common stock, for 90 days after the date of this prospectus without first obtaining the written consent of the Representatives. Specifically, we and these other persons have agreed, with certain limited exceptions, not to directly or indirectly;</w:t>
      </w:r>
    </w:p>
    <w:p>
      <w:pPr>
        <w:spacing w:after="0" w:line="214" w:lineRule="exact"/>
        <w:rPr>
          <w:sz w:val="20"/>
          <w:szCs w:val="20"/>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request or demand that we file or make a confidential submission of a registration statement related to the common stock, or</w:t>
      </w:r>
    </w:p>
    <w:p>
      <w:pPr>
        <w:spacing w:after="0" w:line="263" w:lineRule="exact"/>
        <w:rPr>
          <w:rFonts w:ascii="Arial" w:cs="Arial" w:eastAsia="Arial" w:hAnsi="Arial"/>
          <w:sz w:val="17"/>
          <w:szCs w:val="17"/>
          <w:color w:val="auto"/>
        </w:rPr>
      </w:pPr>
    </w:p>
    <w:p>
      <w:pPr>
        <w:ind w:left="1420" w:right="300" w:hanging="319"/>
        <w:spacing w:after="0" w:line="342" w:lineRule="auto"/>
        <w:tabs>
          <w:tab w:leader="none" w:pos="14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24"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The Representatives in their sole discretion, may release the common stock subject to the lockup agreements in whole or in part at any time.</w:t>
      </w:r>
    </w:p>
    <w:p>
      <w:pPr>
        <w:spacing w:after="0" w:line="187"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Each of our directors, executive officers and selling stockholders are subject to lock-up agreements that restrict their ability to sell or transfer their shares until the later of 90 days after the date of this prospectus or January 9, 2021, subject to certain exceptions. Each of our other security holders are subject to lock-up agreements that restrict their ability to sell or transfer their shares until January 9, 2021, subject to certain exceptions.</w:t>
      </w:r>
    </w:p>
    <w:p>
      <w:pPr>
        <w:spacing w:after="0" w:line="14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connection with our IPO, we, our executive officers and directors and holders of substantially all of our common stock agreed not to sell or transfer any common stock or securities convertible into, exchangeable for, exercisable for, or repayable with common stock, for 180 days after the date of the prospectus without first obtaining the written consent of the Representatives. The Representatives intend to release the lock-up restrictions with respect to all 5,500,000 shares to be sold by the selling stockholders in this offering, which include certain of our employees, officers and directors. See “Shares Eligible for Future Sale—Lock-up Agreements.” In addition, we have agreed to release approximately 370,000 shares held by certain of our existing stockholders not participating in this offering for sale in the public market in connection with the consummation of this offering.</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common stock is listed on The Nasdaq Global Select Market under the symbol “NCNO.”</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including in some cases as our customers, in the ordinary course of business with us or our affiliates. They or we, as applicable, have received, or may in the future receive, customary fees and/or commissions for these transactions. Furthermore, the underwriters also acted as underwriters in our IPO of 9,269,000 shares of common stock, which we completed on July 16, 2020.</w:t>
      </w:r>
    </w:p>
    <w:p>
      <w:pPr>
        <w:spacing w:after="0" w:line="187"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addition, certain affiliates of the representatives are our customers and we have agreements with them in such capacity.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229"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This prospectus is not a prospectus for the purposes of the Prospectus Regulation (as defined below). This prospectus and any offer if made subsequently is directed only at persons in Member States of the European Economic Area or in the United Kingdom (each, a “Relevant State”) who are “qualified investors” within the meaning of Article 2(e) of the Prospectus Regulation. This prospectus has been prepared on the basis that any offer of shares in any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 which no obligation arises for the Company or any of the underwriters to publish a prospectus pursuant to Article 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 The expression “Prospectus Regulation” means Regulation (EU) 2017/1129.</w:t>
      </w:r>
    </w:p>
    <w:p>
      <w:pPr>
        <w:spacing w:after="0" w:line="166"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In relation to each Relevant State, no offer of shares which are the subject of the offering contemplated by this prospectus to the public may be made in that Relevant State other than:</w:t>
      </w:r>
    </w:p>
    <w:p>
      <w:pPr>
        <w:spacing w:after="0" w:line="197" w:lineRule="exact"/>
        <w:rPr>
          <w:sz w:val="20"/>
          <w:szCs w:val="20"/>
          <w:color w:val="auto"/>
        </w:rPr>
      </w:pPr>
    </w:p>
    <w:p>
      <w:pPr>
        <w:ind w:left="1420" w:hanging="427"/>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52" w:lineRule="exact"/>
        <w:rPr>
          <w:rFonts w:ascii="Arial" w:cs="Arial" w:eastAsia="Arial" w:hAnsi="Arial"/>
          <w:sz w:val="18"/>
          <w:szCs w:val="18"/>
          <w:color w:val="auto"/>
        </w:rPr>
      </w:pPr>
    </w:p>
    <w:p>
      <w:pPr>
        <w:ind w:left="1420" w:right="20" w:hanging="427"/>
        <w:spacing w:after="0" w:line="308" w:lineRule="auto"/>
        <w:tabs>
          <w:tab w:leader="none" w:pos="14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Regulation), subject to obtaining the prior consent of the relevant underwriter or underwriters nominated by the Company for any such offer; or</w:t>
      </w:r>
    </w:p>
    <w:p>
      <w:pPr>
        <w:spacing w:after="0" w:line="173" w:lineRule="exact"/>
        <w:rPr>
          <w:rFonts w:ascii="Arial" w:cs="Arial" w:eastAsia="Arial" w:hAnsi="Arial"/>
          <w:sz w:val="17"/>
          <w:szCs w:val="17"/>
          <w:color w:val="auto"/>
        </w:rPr>
      </w:pPr>
    </w:p>
    <w:p>
      <w:pPr>
        <w:ind w:left="1420" w:hanging="427"/>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Regulation.</w:t>
      </w:r>
    </w:p>
    <w:p>
      <w:pPr>
        <w:spacing w:after="0" w:line="170"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State means the communication in any form and by any means of sufficient information on the terms of the offer and the shares to be offered so as to enable an investor to decide to purchase or subscribe for the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United Kingdom’s Financial Services and Markets Act 2000, as amended (the “FSMA”)) in connection with the issue or sale of the shares may only be communicated or caused to be communicated in circumstances in which Section 21(1) of the FSMA does not apply to the Company.</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in, from or otherwise involving the United Kingdom.</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jc w:val="both"/>
        <w:ind w:left="120" w:right="460" w:firstLine="88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section 708 of the Corporations Act or otherwise or where the offer is pursuant to a disclosure document which complies with Chapter 6D of the Corporations Act. Any person acquiring shares must observe such Australian on-sale restrictions.</w:t>
      </w:r>
    </w:p>
    <w:p>
      <w:pPr>
        <w:spacing w:after="0" w:line="170"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52" w:lineRule="exact"/>
        <w:rPr>
          <w:sz w:val="20"/>
          <w:szCs w:val="20"/>
          <w:color w:val="auto"/>
        </w:rPr>
      </w:pPr>
    </w:p>
    <w:p>
      <w:pPr>
        <w:ind w:left="1420" w:right="360" w:hanging="427"/>
        <w:spacing w:after="0" w:line="342" w:lineRule="auto"/>
        <w:tabs>
          <w:tab w:leader="none" w:pos="14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20" w:hanging="427"/>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11" w:lineRule="exact"/>
        <w:rPr>
          <w:sz w:val="20"/>
          <w:szCs w:val="20"/>
          <w:color w:val="auto"/>
        </w:rPr>
      </w:pPr>
    </w:p>
    <w:p>
      <w:pPr>
        <w:ind w:left="1420" w:right="860" w:hanging="427"/>
        <w:spacing w:after="0" w:line="277"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jc w:val="both"/>
        <w:ind w:left="120" w:right="40" w:firstLine="881"/>
        <w:spacing w:after="0" w:line="311" w:lineRule="auto"/>
        <w:rPr>
          <w:sz w:val="20"/>
          <w:szCs w:val="20"/>
          <w:color w:val="auto"/>
        </w:rPr>
      </w:pPr>
      <w:r>
        <w:rPr>
          <w:rFonts w:ascii="Arial" w:cs="Arial" w:eastAsia="Arial" w:hAnsi="Arial"/>
          <w:sz w:val="16"/>
          <w:szCs w:val="16"/>
          <w:color w:val="auto"/>
        </w:rPr>
        <w:t>Notification under Section 309B of the Securities and Futures Act, Chapter 289 of Singapore: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40"/>
          </w:cols>
          <w:pgMar w:left="320" w:top="459" w:right="5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Certain legal matters with respect to U.S. federal law in connection with this offering will be passed upon for us by Sidley Austin LLP.</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legal matters related to this offering will be passed upon for the underwriters by Ropes &amp; Gray LLP.</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The consolidated financial statements of nCino, Inc. at January 31, 2019 and 2020, and for each of the three years in the period ended January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Our periodic reports, proxy statements and other information are available for inspection and copying at the SEC’s public reference facilities and the website of the SEC referred to above. We also maintain a website at www.ncino.com.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NCINO,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0" w:type="dxa"/>
            <w:vAlign w:val="bottom"/>
            <w:vMerge w:val="restart"/>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Report of Independent Registered Public Accounting Firm</w:t>
              </w:r>
            </w:hyperlink>
          </w:p>
        </w:tc>
        <w:tc>
          <w:tcPr>
            <w:tcW w:w="584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5840" w:type="dxa"/>
            <w:vAlign w:val="bottom"/>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4800" w:type="dxa"/>
            <w:vAlign w:val="bottom"/>
          </w:tcPr>
          <w:p>
            <w:pPr>
              <w:spacing w:after="0"/>
              <w:rPr>
                <w:sz w:val="20"/>
                <w:szCs w:val="20"/>
                <w:color w:val="auto"/>
              </w:rPr>
            </w:pPr>
            <w:r>
              <w:rPr>
                <w:rFonts w:ascii="Arial" w:cs="Arial" w:eastAsia="Arial" w:hAnsi="Arial"/>
                <w:sz w:val="18"/>
                <w:szCs w:val="18"/>
                <w:color w:val="auto"/>
              </w:rPr>
              <w:t>Financial Statements</w:t>
            </w:r>
          </w:p>
        </w:tc>
        <w:tc>
          <w:tcPr>
            <w:tcW w:w="5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Consolidated Balance Sheets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Consolidated Statements of Operations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Consolidated Statements of Comprehensive Loss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Consolidated Statements of Stockholders’ Equity</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Consolidated Statements of Cash Flows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Notes to Consolidated Financial Statements</w:t>
              </w:r>
            </w:hyperlink>
          </w:p>
        </w:tc>
        <w:tc>
          <w:tcPr>
            <w:tcW w:w="584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364"/>
        </w:trPr>
        <w:tc>
          <w:tcPr>
            <w:tcW w:w="4800" w:type="dxa"/>
            <w:vAlign w:val="bottom"/>
          </w:tcPr>
          <w:p>
            <w:pPr>
              <w:spacing w:after="0"/>
              <w:rPr>
                <w:sz w:val="24"/>
                <w:szCs w:val="24"/>
                <w:color w:val="auto"/>
              </w:rPr>
            </w:pPr>
          </w:p>
        </w:tc>
        <w:tc>
          <w:tcPr>
            <w:tcW w:w="6180" w:type="dxa"/>
            <w:vAlign w:val="bottom"/>
            <w:gridSpan w:val="3"/>
          </w:tcPr>
          <w:p>
            <w:pPr>
              <w:ind w:left="5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nCino,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audited the accompanying consolidated balance sheets of nCino, Inc. as of January 31, 2019 and 2020, the related consolidated statements of operations, comprehensive loss, stockholders’ equity and cash flows for each of the three years in the period ended January 31, 2020, and the related notes (collectively referred to as the “consolidated financial statements”). In our opinion, the consolidated financial statements present fairly, in all material respects, the financial position of the Company at January 31, 2019 and 2020, and the results of its operations and its cash flows for each of the three years in the period ended January 31, 2020, in conformity with U.S. generally accepted accounting principles.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ASU No. 2014-09</w:t>
      </w:r>
    </w:p>
    <w:p>
      <w:pPr>
        <w:spacing w:after="0" w:line="121" w:lineRule="exact"/>
        <w:rPr>
          <w:sz w:val="20"/>
          <w:szCs w:val="20"/>
          <w:color w:val="auto"/>
        </w:rPr>
      </w:pPr>
    </w:p>
    <w:p>
      <w:pPr>
        <w:jc w:val="both"/>
        <w:ind w:left="120" w:right="80"/>
        <w:spacing w:after="0" w:line="342" w:lineRule="auto"/>
        <w:rPr>
          <w:sz w:val="20"/>
          <w:szCs w:val="20"/>
          <w:color w:val="auto"/>
        </w:rPr>
      </w:pPr>
      <w:r>
        <w:rPr>
          <w:rFonts w:ascii="Arial" w:cs="Arial" w:eastAsia="Arial" w:hAnsi="Arial"/>
          <w:sz w:val="16"/>
          <w:szCs w:val="16"/>
          <w:color w:val="auto"/>
        </w:rPr>
        <w:t>As discussed in Note 2 to the consolidated financial statements, the Company changed its method of accounting for revenue recognition in 2019 due to the adoption of Accounting Standards Update (ASU) No. 2014-09, Revenue from Contracts with Customers (Topic 606), and the related amendments.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17,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January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9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 (VIE: $0 and $8,892 at January 31, 2019 and 2020, respectively)</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74,347</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Accounts receivable, less allowance for doubtful accounts of $123 and $0 at January 31, 2019 and 2020, respectively</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25,495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34,205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related parties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Costs capitalized to obtain revenue contracts, current portion,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109,167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10,406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Costs capitalized to obtain revenue contracts, noncurrent,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long-term assets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119,966</w:t>
            </w:r>
          </w:p>
        </w:tc>
        <w:tc>
          <w:tcPr>
            <w:tcW w:w="220" w:type="dxa"/>
            <w:vAlign w:val="bottom"/>
          </w:tcPr>
          <w:p>
            <w:pPr>
              <w:spacing w:after="0"/>
              <w:rPr>
                <w:sz w:val="17"/>
                <w:szCs w:val="17"/>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Accounts payable, related parties</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commissions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5,164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Other accrued expenses</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Deferred revenue, current portion</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34,172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 current portion, related parties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52,409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 noncurrent</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Deferred rent, noncurrent</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 noncurrent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9040" w:type="dxa"/>
            <w:vAlign w:val="bottom"/>
          </w:tcPr>
          <w:p>
            <w:pPr>
              <w:ind w:left="3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53,930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040" w:type="dxa"/>
            <w:vAlign w:val="bottom"/>
          </w:tcPr>
          <w:p>
            <w:pPr>
              <w:spacing w:after="0"/>
              <w:rPr>
                <w:sz w:val="20"/>
                <w:szCs w:val="20"/>
                <w:color w:val="auto"/>
              </w:rPr>
            </w:pPr>
            <w:r>
              <w:rPr>
                <w:rFonts w:ascii="Arial" w:cs="Arial" w:eastAsia="Arial" w:hAnsi="Arial"/>
                <w:sz w:val="16"/>
                <w:szCs w:val="16"/>
                <w:color w:val="auto"/>
              </w:rPr>
              <w:t>Commitments and Contingencies (Notes 9, 14 and 15)</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Redeemable non-controlling interest (Note 3)</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 $0.001 par value; 1,000,000 shares authorized and none issued and outstanding</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9040" w:type="dxa"/>
            <w:vAlign w:val="bottom"/>
          </w:tcPr>
          <w:p>
            <w:pPr>
              <w:ind w:left="320"/>
              <w:spacing w:after="0"/>
              <w:rPr>
                <w:sz w:val="20"/>
                <w:szCs w:val="20"/>
                <w:color w:val="auto"/>
              </w:rPr>
            </w:pPr>
            <w:r>
              <w:rPr>
                <w:rFonts w:ascii="Arial" w:cs="Arial" w:eastAsia="Arial" w:hAnsi="Arial"/>
                <w:sz w:val="16"/>
                <w:szCs w:val="16"/>
                <w:color w:val="auto"/>
              </w:rPr>
              <w:t>Voting common stock, $0.0005 par value; 89,708,247 and 99,708,247 shares authorized as of January 31, 2019 and 2020,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040" w:type="dxa"/>
            <w:vAlign w:val="bottom"/>
          </w:tcPr>
          <w:p>
            <w:pPr>
              <w:ind w:left="480"/>
              <w:spacing w:after="0"/>
              <w:rPr>
                <w:sz w:val="20"/>
                <w:szCs w:val="20"/>
                <w:color w:val="auto"/>
              </w:rPr>
            </w:pPr>
            <w:r>
              <w:rPr>
                <w:rFonts w:ascii="Arial" w:cs="Arial" w:eastAsia="Arial" w:hAnsi="Arial"/>
                <w:sz w:val="16"/>
                <w:szCs w:val="16"/>
                <w:color w:val="auto"/>
              </w:rPr>
              <w:t>respectively; 70,186,189 and 75,596,007 shares issued and outstanding as of January 31, 2019 and 2020, respectively</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Non-voting common stock, $0.0005 par value; 10,291,753 shares authorized as of January 31, 2019 and 2020; 5,701,435 and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5,931,319 shares issued and outstanding as of January 31, 2019 and 2020, respectively</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Additional paid in capital</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170,771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288,564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6"/>
                <w:szCs w:val="16"/>
                <w:color w:val="auto"/>
                <w:w w:val="93"/>
              </w:rPr>
              <w:t>(104,752)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(120,924)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66,036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liabilities, redeemable non-controlling interest, and stockholders’ equity</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04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119,966</w:t>
            </w:r>
          </w:p>
        </w:tc>
        <w:tc>
          <w:tcPr>
            <w:tcW w:w="220" w:type="dxa"/>
            <w:vAlign w:val="bottom"/>
          </w:tcPr>
          <w:p>
            <w:pPr>
              <w:spacing w:after="0"/>
              <w:rPr>
                <w:sz w:val="17"/>
                <w:szCs w:val="17"/>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Fiscal Year Ended January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Subscription (related parties $5,411, $7,929 and $7,768,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38,048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64,458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103,265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34,915</w:t>
            </w:r>
          </w:p>
        </w:tc>
        <w:tc>
          <w:tcPr>
            <w:tcW w:w="0" w:type="dxa"/>
            <w:vAlign w:val="bottom"/>
          </w:tcPr>
          <w:p>
            <w:pPr>
              <w:spacing w:after="0"/>
              <w:rPr>
                <w:sz w:val="1"/>
                <w:szCs w:val="1"/>
                <w:color w:val="auto"/>
              </w:rPr>
            </w:pPr>
          </w:p>
        </w:tc>
      </w:tr>
      <w:tr>
        <w:trPr>
          <w:trHeight w:val="223"/>
        </w:trPr>
        <w:tc>
          <w:tcPr>
            <w:tcW w:w="69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91,534</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Subscription (related party $9,530, $15,373 and $22,844, respectively)</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19,995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31,062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26,456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33,008</w:t>
            </w:r>
          </w:p>
        </w:tc>
        <w:tc>
          <w:tcPr>
            <w:tcW w:w="0" w:type="dxa"/>
            <w:vAlign w:val="bottom"/>
          </w:tcPr>
          <w:p>
            <w:pPr>
              <w:spacing w:after="0"/>
              <w:rPr>
                <w:sz w:val="1"/>
                <w:szCs w:val="1"/>
                <w:color w:val="auto"/>
              </w:rPr>
            </w:pPr>
          </w:p>
        </w:tc>
      </w:tr>
      <w:tr>
        <w:trPr>
          <w:trHeight w:val="230"/>
        </w:trPr>
        <w:tc>
          <w:tcPr>
            <w:tcW w:w="698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45,083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16,559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22,230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30"/>
        </w:trPr>
        <w:tc>
          <w:tcPr>
            <w:tcW w:w="69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(28,170)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before income tax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(22,112)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(27,735)</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Net loss attributable to non-controlling interest (Note 3)</w:t>
            </w: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 attributable to nCino,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(22,306)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(27,594)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nCino, Inc.: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68,290,570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74,593,709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78,316,794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8"/>
          </w:tcPr>
          <w:p>
            <w:pPr>
              <w:jc w:val="right"/>
              <w:ind w:right="441"/>
              <w:spacing w:after="0"/>
              <w:rPr>
                <w:sz w:val="20"/>
                <w:szCs w:val="20"/>
                <w:color w:val="auto"/>
              </w:rPr>
            </w:pPr>
            <w:r>
              <w:rPr>
                <w:rFonts w:ascii="Arial" w:cs="Arial" w:eastAsia="Arial" w:hAnsi="Arial"/>
                <w:sz w:val="14"/>
                <w:szCs w:val="14"/>
                <w:b w:val="1"/>
                <w:bCs w:val="1"/>
                <w:color w:val="auto"/>
              </w:rPr>
              <w:t>Fiscal Year Ended January 31,</w:t>
            </w: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$(18,589)</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$(22,306)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(27,735)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8240" w:type="dxa"/>
            <w:vAlign w:val="bottom"/>
          </w:tcPr>
          <w:p>
            <w:pPr>
              <w:ind w:left="720"/>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(18,583)</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(22,333)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(28,138)</w:t>
            </w: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Less comprehensive loss attributable to redeemable non-controlling interest:</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240" w:type="dxa"/>
            <w:vAlign w:val="bottom"/>
          </w:tcPr>
          <w:p>
            <w:pPr>
              <w:ind w:left="720"/>
              <w:spacing w:after="0"/>
              <w:rPr>
                <w:sz w:val="20"/>
                <w:szCs w:val="20"/>
                <w:color w:val="auto"/>
              </w:rPr>
            </w:pPr>
            <w:r>
              <w:rPr>
                <w:rFonts w:ascii="Arial" w:cs="Arial" w:eastAsia="Arial" w:hAnsi="Arial"/>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(18,583</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(22,333</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(27,981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color w:val="auto"/>
              </w:rPr>
              <w:t>Voting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vMerge w:val="restart"/>
          </w:tcPr>
          <w:p>
            <w:pPr>
              <w:jc w:val="center"/>
              <w:ind w:left="200"/>
              <w:spacing w:after="0"/>
              <w:rPr>
                <w:sz w:val="20"/>
                <w:szCs w:val="20"/>
                <w:color w:val="auto"/>
              </w:rPr>
            </w:pPr>
            <w:r>
              <w:rPr>
                <w:rFonts w:ascii="Arial" w:cs="Arial" w:eastAsia="Arial" w:hAnsi="Arial"/>
                <w:sz w:val="14"/>
                <w:szCs w:val="14"/>
                <w:color w:val="auto"/>
                <w:w w:val="97"/>
              </w:rPr>
              <w:t>Non-voting</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w w:val="97"/>
              </w:rPr>
              <w:t>Additional</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1200" w:type="dxa"/>
            <w:vAlign w:val="bottom"/>
            <w:gridSpan w:val="4"/>
            <w:vMerge w:val="restart"/>
          </w:tcPr>
          <w:p>
            <w:pPr>
              <w:ind w:left="280"/>
              <w:spacing w:after="0"/>
              <w:rPr>
                <w:sz w:val="20"/>
                <w:szCs w:val="20"/>
                <w:color w:val="auto"/>
              </w:rPr>
            </w:pPr>
            <w:r>
              <w:rPr>
                <w:rFonts w:ascii="Arial" w:cs="Arial" w:eastAsia="Arial" w:hAnsi="Arial"/>
                <w:sz w:val="14"/>
                <w:szCs w:val="14"/>
                <w:color w:val="auto"/>
                <w:w w:val="94"/>
              </w:rPr>
              <w:t>Common Stock</w:t>
            </w: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4"/>
            <w:vMerge w:val="restart"/>
          </w:tcPr>
          <w:p>
            <w:pPr>
              <w:jc w:val="center"/>
              <w:ind w:left="200"/>
              <w:spacing w:after="0"/>
              <w:rPr>
                <w:sz w:val="20"/>
                <w:szCs w:val="20"/>
                <w:color w:val="auto"/>
              </w:rPr>
            </w:pPr>
            <w:r>
              <w:rPr>
                <w:rFonts w:ascii="Arial" w:cs="Arial" w:eastAsia="Arial" w:hAnsi="Arial"/>
                <w:sz w:val="14"/>
                <w:szCs w:val="14"/>
                <w:color w:val="auto"/>
                <w:w w:val="94"/>
              </w:rPr>
              <w:t>Common Stock</w:t>
            </w: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720" w:type="dxa"/>
            <w:vAlign w:val="bottom"/>
          </w:tcPr>
          <w:p>
            <w:pPr>
              <w:spacing w:after="0"/>
              <w:rPr>
                <w:sz w:val="8"/>
                <w:szCs w:val="8"/>
                <w:color w:val="auto"/>
              </w:rPr>
            </w:pPr>
          </w:p>
        </w:tc>
        <w:tc>
          <w:tcPr>
            <w:tcW w:w="1200" w:type="dxa"/>
            <w:vAlign w:val="bottom"/>
            <w:tcBorders>
              <w:bottom w:val="single" w:sz="8" w:color="auto"/>
            </w:tcBorders>
            <w:gridSpan w:val="4"/>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auto"/>
            </w:tcBorders>
            <w:gridSpan w:val="4"/>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20"/>
              <w:spacing w:after="0" w:line="149" w:lineRule="exact"/>
              <w:rPr>
                <w:sz w:val="20"/>
                <w:szCs w:val="20"/>
                <w:color w:val="auto"/>
              </w:rPr>
            </w:pPr>
            <w:r>
              <w:rPr>
                <w:rFonts w:ascii="Arial" w:cs="Arial" w:eastAsia="Arial" w:hAnsi="Arial"/>
                <w:sz w:val="14"/>
                <w:szCs w:val="14"/>
                <w:color w:val="auto"/>
                <w:w w:val="98"/>
              </w:rPr>
              <w:t>Paid in</w:t>
            </w:r>
          </w:p>
        </w:tc>
        <w:tc>
          <w:tcPr>
            <w:tcW w:w="220" w:type="dxa"/>
            <w:vAlign w:val="bottom"/>
          </w:tcPr>
          <w:p>
            <w:pPr>
              <w:spacing w:after="0"/>
              <w:rPr>
                <w:sz w:val="8"/>
                <w:szCs w:val="8"/>
                <w:color w:val="auto"/>
              </w:rPr>
            </w:pPr>
          </w:p>
        </w:tc>
        <w:tc>
          <w:tcPr>
            <w:tcW w:w="120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color w:val="auto"/>
                <w:w w:val="93"/>
              </w:rPr>
              <w:t>Comprehensive</w:t>
            </w: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7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Amount</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20"/>
              <w:spacing w:after="0"/>
              <w:rPr>
                <w:sz w:val="20"/>
                <w:szCs w:val="20"/>
                <w:color w:val="auto"/>
              </w:rPr>
            </w:pPr>
            <w:r>
              <w:rPr>
                <w:rFonts w:ascii="Arial" w:cs="Arial" w:eastAsia="Arial" w:hAnsi="Arial"/>
                <w:sz w:val="14"/>
                <w:szCs w:val="14"/>
                <w:color w:val="auto"/>
                <w:w w:val="96"/>
              </w:rPr>
              <w:t>Capital</w:t>
            </w:r>
          </w:p>
        </w:tc>
        <w:tc>
          <w:tcPr>
            <w:tcW w:w="22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Income (Loss)</w:t>
            </w: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January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56,311,950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10,291,754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86,458</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(63,857)</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320"/>
              <w:spacing w:after="0"/>
              <w:rPr>
                <w:sz w:val="20"/>
                <w:szCs w:val="20"/>
                <w:color w:val="auto"/>
              </w:rPr>
            </w:pPr>
            <w:r>
              <w:rPr>
                <w:rFonts w:ascii="Arial" w:cs="Arial" w:eastAsia="Arial" w:hAnsi="Arial"/>
                <w:sz w:val="16"/>
                <w:szCs w:val="16"/>
                <w:color w:val="auto"/>
              </w:rPr>
              <w:t>Conversion of non-voting common stock to</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480"/>
              <w:spacing w:after="0"/>
              <w:rPr>
                <w:sz w:val="20"/>
                <w:szCs w:val="20"/>
                <w:color w:val="auto"/>
              </w:rPr>
            </w:pPr>
            <w:r>
              <w:rPr>
                <w:rFonts w:ascii="Arial" w:cs="Arial" w:eastAsia="Arial" w:hAnsi="Arial"/>
                <w:sz w:val="16"/>
                <w:szCs w:val="16"/>
                <w:color w:val="auto"/>
              </w:rPr>
              <w:t>voting common stock</w:t>
            </w:r>
          </w:p>
        </w:tc>
        <w:tc>
          <w:tcPr>
            <w:tcW w:w="780" w:type="dxa"/>
            <w:vAlign w:val="bottom"/>
          </w:tcPr>
          <w:p>
            <w:pPr>
              <w:jc w:val="right"/>
              <w:spacing w:after="0"/>
              <w:rPr>
                <w:sz w:val="20"/>
                <w:szCs w:val="20"/>
                <w:color w:val="auto"/>
              </w:rPr>
            </w:pPr>
            <w:r>
              <w:rPr>
                <w:rFonts w:ascii="Arial" w:cs="Arial" w:eastAsia="Arial" w:hAnsi="Arial"/>
                <w:sz w:val="16"/>
                <w:szCs w:val="16"/>
                <w:color w:val="auto"/>
              </w:rPr>
              <w:t>4,590,319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(4,590,319)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net of issuance costs of $109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5,743,054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695,384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Other comprehensive income</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(18,589)</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(18,589)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Balance, January 31, 2018</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67,340,707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5,701,435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160,418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(82,446)</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2,845,482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(22,306)</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(22,306)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70,186,189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5,701,435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170,771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(104,752)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320"/>
              <w:spacing w:after="0"/>
              <w:rPr>
                <w:sz w:val="20"/>
                <w:szCs w:val="20"/>
                <w:color w:val="auto"/>
              </w:rPr>
            </w:pPr>
            <w:r>
              <w:rPr>
                <w:rFonts w:ascii="Arial" w:cs="Arial" w:eastAsia="Arial" w:hAnsi="Arial"/>
                <w:sz w:val="16"/>
                <w:szCs w:val="16"/>
                <w:color w:val="auto"/>
              </w:rPr>
              <w:t>Cumulative-effect adjustment from adoption of</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480"/>
              <w:spacing w:after="0"/>
              <w:rPr>
                <w:sz w:val="20"/>
                <w:szCs w:val="20"/>
                <w:color w:val="auto"/>
              </w:rPr>
            </w:pPr>
            <w:r>
              <w:rPr>
                <w:rFonts w:ascii="Arial" w:cs="Arial" w:eastAsia="Arial" w:hAnsi="Arial"/>
                <w:sz w:val="16"/>
                <w:szCs w:val="16"/>
                <w:color w:val="auto"/>
              </w:rPr>
              <w:t>accounting standard</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11,422</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11,422</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net of issuance costs of $52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3,448,276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229,885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w w:val="97"/>
              </w:rPr>
              <w:t>Stock issuance related to business combinations</w:t>
            </w:r>
          </w:p>
        </w:tc>
        <w:tc>
          <w:tcPr>
            <w:tcW w:w="780" w:type="dxa"/>
            <w:vAlign w:val="bottom"/>
          </w:tcPr>
          <w:p>
            <w:pPr>
              <w:jc w:val="right"/>
              <w:spacing w:after="0"/>
              <w:rPr>
                <w:sz w:val="20"/>
                <w:szCs w:val="20"/>
                <w:color w:val="auto"/>
              </w:rPr>
            </w:pPr>
            <w:r>
              <w:rPr>
                <w:rFonts w:ascii="Arial" w:cs="Arial" w:eastAsia="Arial" w:hAnsi="Arial"/>
                <w:sz w:val="16"/>
                <w:szCs w:val="16"/>
                <w:color w:val="auto"/>
              </w:rPr>
              <w:t>1,502,772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25,203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Contingent consideration related to business</w:t>
            </w: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combination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458,770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(387)</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(27,594)</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(27,594)</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Balance, January 31, 2020</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75,596,007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5,931,319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288,564</w:t>
            </w:r>
          </w:p>
        </w:tc>
        <w:tc>
          <w:tcPr>
            <w:tcW w:w="42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(408)</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(120,924)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167,273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Net loss attributable to nCino, 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(18,589)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(22,306)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(27,594)</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redeemable non-controlling interest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(18,589)</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(22,306)</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(27,735)</w:t>
            </w: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1,458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costs capitalized to obtain revenue contracts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Stock-based compensation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3,826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Provision for (recovery of) bad debt</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 in operating assets and liabilities: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Accounts receivable</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(7,512)</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(10,212)</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(9,289)</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receivable, related parties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(4,919)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(4,867)</w:t>
            </w: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Costs capitalized to obtain revenue contracts</w:t>
            </w:r>
          </w:p>
        </w:tc>
        <w:tc>
          <w:tcPr>
            <w:tcW w:w="8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(5,631)</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Prepaid expenses and other assets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(2,124)</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(1,185)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Accounts payable and accrued expenses and other liabilities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2,252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3,922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payable, related parties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Deferred rent</w:t>
            </w:r>
          </w:p>
        </w:tc>
        <w:tc>
          <w:tcPr>
            <w:tcW w:w="8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14,214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20,873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Deferred revenue, related parties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3,702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Net cash used in operating activities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(15,958)</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(4,589)</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(8,998)</w:t>
            </w:r>
          </w:p>
        </w:tc>
        <w:tc>
          <w:tcPr>
            <w:tcW w:w="0" w:type="dxa"/>
            <w:vAlign w:val="bottom"/>
          </w:tcPr>
          <w:p>
            <w:pPr>
              <w:spacing w:after="0"/>
              <w:rPr>
                <w:sz w:val="1"/>
                <w:szCs w:val="1"/>
                <w:color w:val="auto"/>
              </w:rPr>
            </w:pPr>
          </w:p>
        </w:tc>
      </w:tr>
      <w:tr>
        <w:trPr>
          <w:trHeight w:val="207"/>
        </w:trPr>
        <w:tc>
          <w:tcPr>
            <w:tcW w:w="85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 of businesses, net of cash acquired</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(52,267)</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(2,837)</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(7,965)</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(5,760)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Net cash used in investing activities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(2,837)</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(7,965)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(58,027)</w:t>
            </w:r>
          </w:p>
        </w:tc>
        <w:tc>
          <w:tcPr>
            <w:tcW w:w="0" w:type="dxa"/>
            <w:vAlign w:val="bottom"/>
          </w:tcPr>
          <w:p>
            <w:pPr>
              <w:spacing w:after="0"/>
              <w:rPr>
                <w:sz w:val="1"/>
                <w:szCs w:val="1"/>
                <w:color w:val="auto"/>
              </w:rPr>
            </w:pPr>
          </w:p>
        </w:tc>
      </w:tr>
      <w:tr>
        <w:trPr>
          <w:trHeight w:val="207"/>
        </w:trPr>
        <w:tc>
          <w:tcPr>
            <w:tcW w:w="85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from redeemable non-controlling interest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60" w:type="dxa"/>
            <w:vAlign w:val="bottom"/>
          </w:tcPr>
          <w:p>
            <w:pPr>
              <w:ind w:left="320"/>
              <w:spacing w:after="0"/>
              <w:rPr>
                <w:sz w:val="20"/>
                <w:szCs w:val="20"/>
                <w:color w:val="auto"/>
              </w:rPr>
            </w:pPr>
            <w:r>
              <w:rPr>
                <w:rFonts w:ascii="Arial" w:cs="Arial" w:eastAsia="Arial" w:hAnsi="Arial"/>
                <w:sz w:val="16"/>
                <w:szCs w:val="16"/>
                <w:color w:val="auto"/>
              </w:rPr>
              <w:t>Proceeds from stock issuance</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69,305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80,000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costs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6,260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of deferred costs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17"/>
        </w:trPr>
        <w:tc>
          <w:tcPr>
            <w:tcW w:w="8560" w:type="dxa"/>
            <w:vAlign w:val="bottom"/>
          </w:tcPr>
          <w:p>
            <w:pPr>
              <w:ind w:left="1300"/>
              <w:spacing w:after="0"/>
              <w:rPr>
                <w:sz w:val="20"/>
                <w:szCs w:val="20"/>
                <w:color w:val="auto"/>
              </w:rPr>
            </w:pPr>
            <w:r>
              <w:rPr>
                <w:rFonts w:ascii="Arial" w:cs="Arial" w:eastAsia="Arial" w:hAnsi="Arial"/>
                <w:sz w:val="16"/>
                <w:szCs w:val="16"/>
                <w:b w:val="1"/>
                <w:bCs w:val="1"/>
                <w:color w:val="auto"/>
              </w:rPr>
              <w:t>Net cash provided by financing activities</w:t>
            </w: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70,137</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6,260</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84,091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Effect of foreign currency exchange rate changes on cash and cash equivalents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130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51,354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(6,329)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16,837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29,322</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80,676</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74,347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80,676</w:t>
            </w:r>
          </w:p>
        </w:tc>
        <w:tc>
          <w:tcPr>
            <w:tcW w:w="3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74,347</w:t>
            </w:r>
          </w:p>
        </w:tc>
        <w:tc>
          <w:tcPr>
            <w:tcW w:w="3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91,184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Cash paid during the year for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Purchase of property and equipment, accrued but not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costs, accrued but not paid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Fair value of common stock issued as consideration for business acquisition</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25,204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Fair value of contingent consideration in connection with business acquisition in other long-term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Fair value of contingent consideration in connection with business acquisition included in equity</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117" w:lineRule="exact"/>
        <w:rPr>
          <w:sz w:val="20"/>
          <w:szCs w:val="20"/>
          <w:color w:val="auto"/>
        </w:rPr>
      </w:pPr>
    </w:p>
    <w:p>
      <w:pPr>
        <w:ind w:left="120" w:right="200" w:firstLine="881"/>
        <w:spacing w:after="0" w:line="26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(“nCino” or the “Company”) is a software-as-a-service (SaaS) company that provides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to financial institutions to streamline customer and employee interactions. The Company is headquartered in Wilmington, North Carolina and has offices in Salt Lake City, London, Sydney, Melbourne, Toronto and Tokyo.</w:t>
      </w:r>
    </w:p>
    <w:p>
      <w:pPr>
        <w:spacing w:after="0" w:line="180"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The Company was organized as a North Carolina limited liability company named BANKR, LLC on December 13, 2011. On April 3, 2012, the Company was renamed nCino, LLC. The Company was re-incorporated in the State of Delaware on December 18, 2013.</w:t>
      </w:r>
    </w:p>
    <w:p>
      <w:pPr>
        <w:spacing w:after="0" w:line="146"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On September 27, 2016, the Company created a wholly-owned subsidiary called nCino GBU, Inc. to facilitate an agreement with a customer. nCino GBU, Inc. was dissolved on August 14, 2018.</w:t>
      </w:r>
    </w:p>
    <w:p>
      <w:pPr>
        <w:spacing w:after="0" w:line="170"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During the fiscal year ended January 31, 2018, the Company created wholly-owned subsidiaries nCino APAC PTY Ltd, nCino Canada, Inc., and nCino Global Ltd in Australia, Canada, and the United Kingdom, respectively, to expand to Canada, Asia Pacific, and Europe.</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7"/>
          <w:szCs w:val="17"/>
          <w:b w:val="1"/>
          <w:bCs w:val="1"/>
          <w:color w:val="auto"/>
        </w:rPr>
        <w:t xml:space="preserve">Principles of Consolidation and Basis of Presentation: </w:t>
      </w:r>
      <w:r>
        <w:rPr>
          <w:rFonts w:ascii="Arial" w:cs="Arial" w:eastAsia="Arial" w:hAnsi="Arial"/>
          <w:sz w:val="17"/>
          <w:szCs w:val="17"/>
          <w:color w:val="auto"/>
        </w:rPr>
        <w:t>These consolidated financial statements have been prepared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accepted accounting principles in the United States (U.S.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accounts and transactions are eliminated. Refer to disclosures in Note 2 and Note 3 for additional information regarding the Company’s variable interest entity.</w:t>
      </w:r>
    </w:p>
    <w:p>
      <w:pPr>
        <w:spacing w:after="0" w:line="172"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Effective February 1, 2019, the Company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Adoption of the new revenue standard resulted in changes to accounting policies for revenue recognition and sales commissions.</w:t>
      </w:r>
    </w:p>
    <w:p>
      <w:pPr>
        <w:spacing w:after="0" w:line="184" w:lineRule="exact"/>
        <w:rPr>
          <w:sz w:val="20"/>
          <w:szCs w:val="20"/>
          <w:color w:val="auto"/>
        </w:rPr>
      </w:pPr>
    </w:p>
    <w:p>
      <w:pPr>
        <w:ind w:left="120" w:firstLine="881"/>
        <w:spacing w:after="0" w:line="258" w:lineRule="auto"/>
        <w:rPr>
          <w:sz w:val="20"/>
          <w:szCs w:val="20"/>
          <w:color w:val="auto"/>
        </w:rPr>
      </w:pPr>
      <w:r>
        <w:rPr>
          <w:rFonts w:ascii="Arial" w:cs="Arial" w:eastAsia="Arial" w:hAnsi="Arial"/>
          <w:sz w:val="18"/>
          <w:szCs w:val="18"/>
          <w:b w:val="1"/>
          <w:bCs w:val="1"/>
          <w:color w:val="auto"/>
        </w:rPr>
        <w:t xml:space="preserve">Variable Interest Entity: </w:t>
      </w:r>
      <w:r>
        <w:rPr>
          <w:rFonts w:ascii="Arial" w:cs="Arial" w:eastAsia="Arial" w:hAnsi="Arial"/>
          <w:sz w:val="18"/>
          <w:szCs w:val="18"/>
          <w:color w:val="auto"/>
        </w:rPr>
        <w:t>The Company holds an interest in a Japanese company (“nCino K.K.”) that is considered a variable interest entity</w:t>
      </w:r>
      <w:r>
        <w:rPr>
          <w:rFonts w:ascii="Arial" w:cs="Arial" w:eastAsia="Arial" w:hAnsi="Arial"/>
          <w:sz w:val="18"/>
          <w:szCs w:val="18"/>
          <w:b w:val="1"/>
          <w:bCs w:val="1"/>
          <w:color w:val="auto"/>
        </w:rPr>
        <w:t xml:space="preserve"> </w:t>
      </w:r>
      <w:r>
        <w:rPr>
          <w:rFonts w:ascii="Arial" w:cs="Arial" w:eastAsia="Arial" w:hAnsi="Arial"/>
          <w:sz w:val="18"/>
          <w:szCs w:val="18"/>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hanging="4"/>
        <w:spacing w:after="0" w:line="255" w:lineRule="auto"/>
        <w:tabs>
          <w:tab w:leader="none" w:pos="5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financial statements except for cash which is reflected on the consolidated balance sheets. Refer to Note 3 for additional information regarding the Company’s variable interest.</w:t>
      </w:r>
    </w:p>
    <w:p>
      <w:pPr>
        <w:spacing w:after="0" w:line="188"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b w:val="1"/>
          <w:bCs w:val="1"/>
          <w:color w:val="auto"/>
        </w:rPr>
        <w:t xml:space="preserve">Redeemable Non-Controlling Interest: </w:t>
      </w:r>
      <w:r>
        <w:rPr>
          <w:rFonts w:ascii="Arial" w:cs="Arial" w:eastAsia="Arial" w:hAnsi="Arial"/>
          <w:sz w:val="16"/>
          <w:szCs w:val="16"/>
          <w:color w:val="auto"/>
        </w:rPr>
        <w:t>nCino K.K. has a redeemable non-controlling interest. An agreement with the minority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spacing w:after="0" w:line="166" w:lineRule="exact"/>
        <w:rPr>
          <w:sz w:val="20"/>
          <w:szCs w:val="20"/>
          <w:color w:val="auto"/>
        </w:rPr>
      </w:pPr>
    </w:p>
    <w:p>
      <w:pPr>
        <w:ind w:left="120" w:right="40" w:firstLine="881"/>
        <w:spacing w:after="0" w:line="292"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reported amounts of assets and liabilities and 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and stock-based compensation.</w:t>
      </w:r>
    </w:p>
    <w:p>
      <w:pPr>
        <w:spacing w:after="0" w:line="16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 assesses these estimates on a regular basis using historical experience and other factors. Actual results could differ from these estimates, which were based upon circumstances that existed as of the date of the consolidated financial statements, January 31, 2020. Subsequent to this date, there have been significant changes to the global economic environment as a consequence of the COVID-19 pandemic. It is possible that this could cause changes to estimates as a result of the financial circumstances of the markets in which the Company operates, the Company’s reporting unit’s fair value in comparison to the Company’s carrying value, and the health of the global economy. Such changes to estimates could potentially result in impacts that would be material to the consolidated financial statements, particularly with respect to the fair value of the Company’s reporting units in relation to potential goodwill impairment and the fair value of long-lived assets in relation to potential impairment.</w:t>
      </w:r>
    </w:p>
    <w:p>
      <w:pPr>
        <w:spacing w:after="0" w:line="162" w:lineRule="exact"/>
        <w:rPr>
          <w:sz w:val="20"/>
          <w:szCs w:val="20"/>
          <w:color w:val="auto"/>
        </w:rPr>
      </w:pPr>
    </w:p>
    <w:p>
      <w:pPr>
        <w:ind w:left="120" w:right="20" w:firstLine="881"/>
        <w:spacing w:after="0" w:line="282" w:lineRule="auto"/>
        <w:rPr>
          <w:sz w:val="20"/>
          <w:szCs w:val="20"/>
          <w:color w:val="auto"/>
        </w:rPr>
      </w:pPr>
      <w:r>
        <w:rPr>
          <w:rFonts w:ascii="Arial" w:cs="Arial" w:eastAsia="Arial" w:hAnsi="Arial"/>
          <w:sz w:val="18"/>
          <w:szCs w:val="18"/>
          <w:b w:val="1"/>
          <w:bCs w:val="1"/>
          <w:color w:val="auto"/>
        </w:rPr>
        <w:t xml:space="preserve">Operating Segments: </w:t>
      </w:r>
      <w:r>
        <w:rPr>
          <w:rFonts w:ascii="Arial" w:cs="Arial" w:eastAsia="Arial" w:hAnsi="Arial"/>
          <w:sz w:val="18"/>
          <w:szCs w:val="18"/>
          <w:color w:val="auto"/>
        </w:rPr>
        <w:t>The Company operates as one operating segment. Operating segments are defined as components of an enterprise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separate financial information is available and evaluated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spacing w:after="0" w:line="180" w:lineRule="exact"/>
        <w:rPr>
          <w:sz w:val="20"/>
          <w:szCs w:val="20"/>
          <w:color w:val="auto"/>
        </w:rPr>
      </w:pPr>
    </w:p>
    <w:p>
      <w:pPr>
        <w:ind w:left="120" w:right="320" w:firstLine="881"/>
        <w:spacing w:after="0" w:line="314" w:lineRule="auto"/>
        <w:rPr>
          <w:sz w:val="20"/>
          <w:szCs w:val="20"/>
          <w:color w:val="auto"/>
        </w:rPr>
      </w:pPr>
      <w:r>
        <w:rPr>
          <w:rFonts w:ascii="Arial" w:cs="Arial" w:eastAsia="Arial" w:hAnsi="Arial"/>
          <w:sz w:val="16"/>
          <w:szCs w:val="16"/>
          <w:b w:val="1"/>
          <w:bCs w:val="1"/>
          <w:color w:val="auto"/>
        </w:rPr>
        <w:t xml:space="preserve">Concentration of Credit Risk and Significant Customers: </w:t>
      </w:r>
      <w:r>
        <w:rPr>
          <w:rFonts w:ascii="Arial" w:cs="Arial" w:eastAsia="Arial" w:hAnsi="Arial"/>
          <w:sz w:val="16"/>
          <w:szCs w:val="16"/>
          <w:color w:val="auto"/>
        </w:rPr>
        <w:t>The Company’s financial instruments that are exposed to concentration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risk consist primarily of cash and cash equivalents. The Company’s cash and cash equivalents exceed the Federal deposit insurance limit at January 31, 2019 and 2020. The Company maintains its cash and cash equivalents with high-credit-quality financial institutions.</w:t>
      </w:r>
    </w:p>
    <w:p>
      <w:pPr>
        <w:spacing w:after="0" w:line="14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For the fiscal year ended January 31, 2018, three customers represented 20% of total revenues, 14% of which was from two customers who are also equity holders in the Company. These three customers also represented 58% of accounts receivable as of January 31, 2018, of which 40% was from the two customers who are also equity holders. For the fiscal year ended January 31, 2019, two customers represented 9% of total revenues, 4% of which was also from a customer who is an equity holder in the Company. These two customers also represented 29% of accounts receivable as of January 31, 2019, of which 14% was from the customer who is an equity holder. For the fiscal year ended January 31, 2020, two customers represented 6% of total revenues, 3% of which was also from a customer who is an equity holder in the Company. These two customers also represented 22% of accounts receivable as of January 31, 2020, of which 11% was from the customer who is an equity holder.</w:t>
      </w:r>
    </w:p>
    <w:p>
      <w:pPr>
        <w:spacing w:after="0" w:line="162" w:lineRule="exact"/>
        <w:rPr>
          <w:sz w:val="20"/>
          <w:szCs w:val="20"/>
          <w:color w:val="auto"/>
        </w:rPr>
      </w:pPr>
    </w:p>
    <w:p>
      <w:pPr>
        <w:ind w:left="120" w:firstLine="881"/>
        <w:spacing w:after="0" w:line="294"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 The Company derives revenues primarily from subscription services and professional services. Revenues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Revenues are recognized net of allowances and any taxes collected from customers, which are subsequently remitted to governmental authorities.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31" w:lineRule="exact"/>
        <w:rPr>
          <w:sz w:val="20"/>
          <w:szCs w:val="20"/>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Revenues</w:t>
      </w:r>
    </w:p>
    <w:p>
      <w:pPr>
        <w:spacing w:after="0" w:line="117"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Subscription revenues primarily consist of fees for providing customers access to the Company’s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the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9" w:right="5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cloud-based application service at any time and, as a result, are accounted for as a service contract. Generally, the Company’s subscription contracts are three years or longer in length, billed annually in advance, are non-cancelable and do not contain refund-type provisions. Any subscription arrangements that are cancelable generally have penalty clauses.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Professional Services Revenues</w:t>
      </w:r>
    </w:p>
    <w:p>
      <w:pPr>
        <w:spacing w:after="0" w:line="117"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the Company’s professional services contracts are billed on a fixed price basis, and revenues are recognized over time based on a proportional performance methodology which utilizes input methods. A portion of the Company’s professional services contracts are billed on a time and materials basis and revenues are recognized over time as the services are performed.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spacing w:after="0" w:line="164"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Costs Capitalized to Obtain Revenue Contracts</w:t>
      </w:r>
    </w:p>
    <w:p>
      <w:pPr>
        <w:spacing w:after="0" w:line="11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As part of its adoption of ASU 2014-09, the Company capitalizes incremental costs of obtaining a non-cancelable subscription and support revenue contract. The provisions of ASU 2014-09 codified and clarified the accounting guidance for contract acquisition costs. The new guidance resulted in the capitalization of additional contract acquisition costs, which are subsequently amortized over the estimated life of the contract. Under the prior accounting guidance, the Company expensed sales commissions as incurred.</w:t>
      </w:r>
    </w:p>
    <w:p>
      <w:pPr>
        <w:spacing w:after="0" w:line="187"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Under ASU 2014-09,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 new revenue contracts are amortized on a straight-line basis over four years, which,</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Amortization of capitalized costs to obtain revenue contracts is included in cost of revenues – professional services, sales and marketing and research and development expense in the accompanying consolidated statements of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Judgments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Contracts with customers may include multiple services requiring allocation of the transaction price across the different performance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Standalone selling price is established by maximizing the amount of observable inputs, primarily actual historical selling prices for performance obligations where available and includes consideration of factors such as go-to-market model and customer size. Where standalone selling price may not be observable (e.g., the performance obligation is not sold separately), the Company maximizes the use of observable inputs by using information that may include reviewing pricing practices, performance obligations with similar customers and selling models.</w:t>
      </w:r>
    </w:p>
    <w:p>
      <w:pPr>
        <w:spacing w:after="0" w:line="171" w:lineRule="exact"/>
        <w:rPr>
          <w:sz w:val="20"/>
          <w:szCs w:val="20"/>
          <w:color w:val="auto"/>
        </w:rPr>
      </w:pPr>
    </w:p>
    <w:p>
      <w:pPr>
        <w:ind w:left="120" w:right="280" w:firstLine="881"/>
        <w:spacing w:after="0" w:line="296" w:lineRule="auto"/>
        <w:rPr>
          <w:sz w:val="20"/>
          <w:szCs w:val="20"/>
          <w:color w:val="auto"/>
        </w:rPr>
      </w:pPr>
      <w:r>
        <w:rPr>
          <w:rFonts w:ascii="Arial" w:cs="Arial" w:eastAsia="Arial" w:hAnsi="Arial"/>
          <w:sz w:val="16"/>
          <w:szCs w:val="16"/>
          <w:color w:val="auto"/>
        </w:rPr>
        <w:t>Capitalized costs to obtain a contract are amortized over the expected period of benefit, which the Company has determined, based on analysis, to be approximately 4 years. The Company evaluated qualitative and quantitative factors to determine the period of amortization, including contract length, renewals, customer life and the useful lives of our products and acquired products. When the expected period of benefit of an asset which would be capitalized is less than one year, the Company expenses the amount as incurred, utilizing the practical expedient. The Company regularly evaluates whether there have been changes in the underlying assumptions and data used to determine the amortization period.</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2020.</w:t>
      </w:r>
    </w:p>
    <w:p>
      <w:pPr>
        <w:spacing w:after="0" w:line="18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evaluates whether it is the principal (i.e., report revenues on a gross basis) or agent (i.e., report revenues on a net basis) with respect to vendor reseller agreements pursuant to which the Company resells certain third-party solutions along with the Company’s solutions. Generally, the Company reports revenues from these types of contracts on a gross basis, meaning the amounts billed to customers are recorded as revenues and expenses incurred are recorded as cost of revenues.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Revenues provided from agreements in which the Company is an agent are immaterial.</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20" w:right="320" w:firstLine="881"/>
        <w:spacing w:after="0" w:line="285" w:lineRule="auto"/>
        <w:rPr>
          <w:sz w:val="20"/>
          <w:szCs w:val="20"/>
          <w:color w:val="auto"/>
        </w:rPr>
      </w:pPr>
      <w:r>
        <w:rPr>
          <w:rFonts w:ascii="Arial" w:cs="Arial" w:eastAsia="Arial" w:hAnsi="Arial"/>
          <w:sz w:val="16"/>
          <w:szCs w:val="16"/>
          <w:b w:val="1"/>
          <w:bCs w:val="1"/>
          <w:color w:val="auto"/>
        </w:rPr>
        <w:t xml:space="preserve">Deferred Revenue: </w:t>
      </w:r>
      <w:r>
        <w:rPr>
          <w:rFonts w:ascii="Arial" w:cs="Arial" w:eastAsia="Arial" w:hAnsi="Arial"/>
          <w:sz w:val="16"/>
          <w:szCs w:val="16"/>
          <w:color w:val="auto"/>
        </w:rPr>
        <w:t>Deferred revenue primarily consists of billings or payments received in advance of revenue recognition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services, including non-cancellable and non-refundable committed funds and deposits. Deferred revenue is recognized as revenue recognition criteria has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non-cancellable subscription agreements. Deferred revenue that will be recognized during the succeeding</w:t>
      </w:r>
    </w:p>
    <w:p>
      <w:pPr>
        <w:spacing w:after="0" w:line="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12-month period are recorded as deferred revenue, current portion, and the remaining portion is recorded as deferred revenue, net of current portion on the consolidated balance sheets.</w:t>
      </w:r>
    </w:p>
    <w:p>
      <w:pPr>
        <w:spacing w:after="0" w:line="18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spacing w:after="0" w:line="172" w:lineRule="exact"/>
        <w:rPr>
          <w:sz w:val="20"/>
          <w:szCs w:val="20"/>
          <w:color w:val="auto"/>
        </w:rPr>
      </w:pPr>
    </w:p>
    <w:p>
      <w:pPr>
        <w:ind w:left="120" w:right="60" w:firstLine="881"/>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all highly liquid investments purchased with an original maturity of three months or</w:t>
      </w:r>
      <w:r>
        <w:rPr>
          <w:rFonts w:ascii="Arial" w:cs="Arial" w:eastAsia="Arial" w:hAnsi="Arial"/>
          <w:sz w:val="18"/>
          <w:szCs w:val="18"/>
          <w:b w:val="1"/>
          <w:bCs w:val="1"/>
          <w:color w:val="auto"/>
        </w:rPr>
        <w:t xml:space="preserve"> </w:t>
      </w:r>
      <w:r>
        <w:rPr>
          <w:rFonts w:ascii="Arial" w:cs="Arial" w:eastAsia="Arial" w:hAnsi="Arial"/>
          <w:sz w:val="18"/>
          <w:szCs w:val="18"/>
          <w:color w:val="auto"/>
        </w:rPr>
        <w:t>less at the date of purchase to be cash equivalents. Cash and cash equivalents are stated at fair value.</w:t>
      </w:r>
    </w:p>
    <w:p>
      <w:pPr>
        <w:spacing w:after="0" w:line="162"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w:t>
      </w:r>
      <w:r>
        <w:rPr>
          <w:rFonts w:ascii="Arial" w:cs="Arial" w:eastAsia="Arial" w:hAnsi="Arial"/>
          <w:sz w:val="16"/>
          <w:szCs w:val="16"/>
          <w:b w:val="1"/>
          <w:bCs w:val="1"/>
          <w:color w:val="auto"/>
        </w:rPr>
        <w:t xml:space="preserve"> </w:t>
      </w:r>
      <w:r>
        <w:rPr>
          <w:rFonts w:ascii="Arial" w:cs="Arial" w:eastAsia="Arial" w:hAnsi="Arial"/>
          <w:sz w:val="16"/>
          <w:szCs w:val="16"/>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Under ASU 2014-09, the timing and amount of revenue recognition may differ in certain situations from the revenues recognized under previous accounting guidance that limited subscription and support revenues to the customer invoice amount for the period of service (collectively billings).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our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67"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47" w:lineRule="exact"/>
        <w:rPr>
          <w:sz w:val="20"/>
          <w:szCs w:val="20"/>
          <w:color w:val="auto"/>
        </w:rPr>
      </w:pPr>
    </w:p>
    <w:p>
      <w:pPr>
        <w:jc w:val="center"/>
        <w:ind w:left="6680"/>
        <w:spacing w:after="0"/>
        <w:rPr>
          <w:sz w:val="20"/>
          <w:szCs w:val="20"/>
          <w:color w:val="auto"/>
        </w:rPr>
      </w:pPr>
      <w:r>
        <w:rPr>
          <w:rFonts w:ascii="Arial" w:cs="Arial" w:eastAsia="Arial" w:hAnsi="Arial"/>
          <w:sz w:val="14"/>
          <w:szCs w:val="14"/>
          <w:color w:val="auto"/>
        </w:rPr>
        <w:t>Fiscal Year Ended</w:t>
      </w:r>
    </w:p>
    <w:p>
      <w:pPr>
        <w:jc w:val="center"/>
        <w:ind w:left="668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2018</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Charged to (recovery of) bad debt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110</w:t>
            </w:r>
          </w:p>
        </w:tc>
        <w:tc>
          <w:tcPr>
            <w:tcW w:w="3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Write offs and 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1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881"/>
        <w:spacing w:after="0" w:line="292" w:lineRule="auto"/>
        <w:rPr>
          <w:sz w:val="20"/>
          <w:szCs w:val="20"/>
          <w:color w:val="auto"/>
        </w:rPr>
      </w:pPr>
      <w:r>
        <w:rPr>
          <w:rFonts w:ascii="Arial" w:cs="Arial" w:eastAsia="Arial" w:hAnsi="Arial"/>
          <w:sz w:val="16"/>
          <w:szCs w:val="16"/>
          <w:b w:val="1"/>
          <w:bCs w:val="1"/>
          <w:color w:val="auto"/>
        </w:rPr>
        <w:t xml:space="preserve">Costs Capitalized to Obtain Revenue Contracts: </w:t>
      </w:r>
      <w:r>
        <w:rPr>
          <w:rFonts w:ascii="Arial" w:cs="Arial" w:eastAsia="Arial" w:hAnsi="Arial"/>
          <w:sz w:val="16"/>
          <w:szCs w:val="16"/>
          <w:color w:val="auto"/>
        </w:rPr>
        <w:t>The Company recognizes an asset for the incremental costs of obtaining a contract with</w:t>
      </w:r>
      <w:r>
        <w:rPr>
          <w:rFonts w:ascii="Arial" w:cs="Arial" w:eastAsia="Arial" w:hAnsi="Arial"/>
          <w:sz w:val="16"/>
          <w:szCs w:val="16"/>
          <w:b w:val="1"/>
          <w:bCs w:val="1"/>
          <w:color w:val="auto"/>
        </w:rPr>
        <w:t xml:space="preserve"> </w:t>
      </w:r>
      <w:r>
        <w:rPr>
          <w:rFonts w:ascii="Arial" w:cs="Arial" w:eastAsia="Arial" w:hAnsi="Arial"/>
          <w:sz w:val="16"/>
          <w:szCs w:val="16"/>
          <w:color w:val="auto"/>
        </w:rPr>
        <w:t>a customer if the Company expects the benefit of those costs to be longer than one year. The Company has determined that certain sales incentive programs meet the requirements to be capitalized. The costs capitalized under ASU 2014-09 are primarily sales commissions paid to commissioned sales personnel. Capitalized costs also include portions of fringe benefits and payroll taxes associated with compensation for incremental costs to acquire customer contracts. Capitalized costs to obtain a contract are amortized over the expected period of benefit, which the Company has determined to be approximately 4 years. Amortization of capitalized costs are included in costs of revenues – professional services, research and development, and within sales and marketing expense in the Company’s consolidated statements of operations.</w:t>
      </w:r>
    </w:p>
    <w:p>
      <w:pPr>
        <w:spacing w:after="0" w:line="161" w:lineRule="exact"/>
        <w:rPr>
          <w:sz w:val="20"/>
          <w:szCs w:val="20"/>
          <w:color w:val="auto"/>
        </w:rPr>
      </w:pPr>
    </w:p>
    <w:p>
      <w:pPr>
        <w:ind w:left="120" w:right="160" w:firstLine="881"/>
        <w:spacing w:after="0" w:line="26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Depreciation is calculated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 over the estimated useful lives of the assets and commences once the asset is placed in service or is ready for its intended use. The estimated useful lives by asset classification are generally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5840" w:type="dxa"/>
            <w:vAlign w:val="bottom"/>
            <w:gridSpan w:val="2"/>
          </w:tcPr>
          <w:p>
            <w:pPr>
              <w:spacing w:after="0"/>
              <w:rPr>
                <w:sz w:val="20"/>
                <w:szCs w:val="20"/>
                <w:color w:val="auto"/>
              </w:rPr>
            </w:pPr>
            <w:r>
              <w:rPr>
                <w:rFonts w:ascii="Arial" w:cs="Arial" w:eastAsia="Arial" w:hAnsi="Arial"/>
                <w:sz w:val="14"/>
                <w:szCs w:val="14"/>
                <w:color w:val="auto"/>
              </w:rPr>
              <w:t>Asset Classification</w:t>
            </w:r>
          </w:p>
        </w:tc>
        <w:tc>
          <w:tcPr>
            <w:tcW w:w="5180" w:type="dxa"/>
            <w:vAlign w:val="bottom"/>
          </w:tcPr>
          <w:p>
            <w:pPr>
              <w:spacing w:after="0"/>
              <w:rPr>
                <w:sz w:val="20"/>
                <w:szCs w:val="20"/>
                <w:color w:val="auto"/>
              </w:rPr>
            </w:pPr>
            <w:r>
              <w:rPr>
                <w:rFonts w:ascii="Arial" w:cs="Arial" w:eastAsia="Arial" w:hAnsi="Arial"/>
                <w:sz w:val="14"/>
                <w:szCs w:val="14"/>
                <w:color w:val="auto"/>
              </w:rPr>
              <w:t>Estimated Useful Life</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3-7 years</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Computers and equipment</w:t>
            </w:r>
          </w:p>
        </w:tc>
        <w:tc>
          <w:tcPr>
            <w:tcW w:w="5180" w:type="dxa"/>
            <w:vAlign w:val="bottom"/>
          </w:tcPr>
          <w:p>
            <w:pPr>
              <w:spacing w:after="0"/>
              <w:rPr>
                <w:sz w:val="20"/>
                <w:szCs w:val="20"/>
                <w:color w:val="auto"/>
              </w:rPr>
            </w:pPr>
            <w:r>
              <w:rPr>
                <w:rFonts w:ascii="Arial" w:cs="Arial" w:eastAsia="Arial" w:hAnsi="Arial"/>
                <w:sz w:val="18"/>
                <w:szCs w:val="18"/>
                <w:color w:val="auto"/>
              </w:rPr>
              <w:t>3 years</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80" w:type="dxa"/>
            <w:vAlign w:val="bottom"/>
          </w:tcPr>
          <w:p>
            <w:pPr>
              <w:spacing w:after="0"/>
              <w:rPr>
                <w:sz w:val="20"/>
                <w:szCs w:val="20"/>
                <w:color w:val="auto"/>
              </w:rPr>
            </w:pPr>
            <w:r>
              <w:rPr>
                <w:rFonts w:ascii="Arial" w:cs="Arial" w:eastAsia="Arial" w:hAnsi="Arial"/>
                <w:sz w:val="18"/>
                <w:szCs w:val="18"/>
                <w:color w:val="auto"/>
              </w:rPr>
              <w:t>Shorter of remaining life of the lease term or estimated useful life</w:t>
            </w:r>
          </w:p>
        </w:tc>
      </w:tr>
    </w:tbl>
    <w:p>
      <w:pPr>
        <w:spacing w:after="0" w:line="202"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When assets are retired or otherwise disposed of, the cost and accumulated depreciation or amortization are removed from their respective accounts, and any gain or loss on such retirement is reflected in operating expenses.</w:t>
      </w:r>
    </w:p>
    <w:p>
      <w:pPr>
        <w:spacing w:after="0" w:line="166" w:lineRule="exact"/>
        <w:rPr>
          <w:sz w:val="20"/>
          <w:szCs w:val="20"/>
          <w:color w:val="auto"/>
        </w:rPr>
      </w:pPr>
    </w:p>
    <w:p>
      <w:pPr>
        <w:ind w:left="120" w:right="120" w:firstLine="881"/>
        <w:spacing w:after="0" w:line="256" w:lineRule="auto"/>
        <w:rPr>
          <w:sz w:val="20"/>
          <w:szCs w:val="20"/>
          <w:color w:val="auto"/>
        </w:rPr>
      </w:pPr>
      <w:r>
        <w:rPr>
          <w:rFonts w:ascii="Arial" w:cs="Arial" w:eastAsia="Arial" w:hAnsi="Arial"/>
          <w:sz w:val="18"/>
          <w:szCs w:val="18"/>
          <w:b w:val="1"/>
          <w:bCs w:val="1"/>
          <w:color w:val="auto"/>
        </w:rPr>
        <w:t xml:space="preserve">Capitalized Software Costs: </w:t>
      </w:r>
      <w:r>
        <w:rPr>
          <w:rFonts w:ascii="Arial" w:cs="Arial" w:eastAsia="Arial" w:hAnsi="Arial"/>
          <w:sz w:val="18"/>
          <w:szCs w:val="18"/>
          <w:color w:val="auto"/>
        </w:rPr>
        <w:t>Costs related to software developed for internal use are capitalized during the application development stage.</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related to preliminary internal or external project activities and post implementation activities are expensed as incurred. Capitalized internal-use software is amortized on a straight-line basis over its estimated useful life, which is generally two to five years. Capitalized software costs useful lives are evaluated on an annual basis and tested for impairment whenever events or changes indicate that the carrying amount of an asset may not be recoverable. There were no costs capitalized during the fiscal years ended January 31, 2018, 2019 or 2020 and there were no unamortized capitalized software costs as of January 31, 2019 and 2020.</w:t>
      </w:r>
    </w:p>
    <w:p>
      <w:pPr>
        <w:spacing w:after="0" w:line="187" w:lineRule="exact"/>
        <w:rPr>
          <w:sz w:val="20"/>
          <w:szCs w:val="20"/>
          <w:color w:val="auto"/>
        </w:rPr>
      </w:pPr>
    </w:p>
    <w:p>
      <w:pPr>
        <w:ind w:left="120" w:right="440" w:firstLine="881"/>
        <w:spacing w:after="0" w:line="282" w:lineRule="auto"/>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Intangible assets are amortized over their estimated useful lives. Each period, the Company evaluates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useful life of its intangible assets and whether events or changes in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circumstances warrant a revision to the remaining period of amortization. Management tests for impairment whenever events or changes in circumstances occur that could impact the recoverability of these assets.</w:t>
      </w:r>
    </w:p>
    <w:p>
      <w:pPr>
        <w:spacing w:after="0" w:line="166"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b w:val="1"/>
          <w:bCs w:val="1"/>
          <w:color w:val="auto"/>
        </w:rPr>
        <w:t>Impairment Assessment</w:t>
      </w:r>
      <w:r>
        <w:rPr>
          <w:rFonts w:ascii="Arial" w:cs="Arial" w:eastAsia="Arial" w:hAnsi="Arial"/>
          <w:sz w:val="18"/>
          <w:szCs w:val="18"/>
          <w:color w:val="auto"/>
        </w:rPr>
        <w:t>: The Company evaluates intangible assets and long-lived assets for possible impairment whenever events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comparing the carrying amount of each asset to the future undiscounted cash flows the asset is expected to generate. If the undiscounted cash flows used in the test for recoverability are less than the carrying amount of these assets, the carrying amount of such assets is reduced to fair value. There were no material impairments of intangible assets or long-lived assets during the fiscal years ended January 31, 2018, 2019 and 2020.</w:t>
      </w:r>
    </w:p>
    <w:p>
      <w:pPr>
        <w:spacing w:after="0" w:line="18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represents the excess of the purchase price in a business combination over the fair value of net assets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Goodwill is not amortized, but rather the carrying amounts of these assets are assessed for impairment at least annually or whenever events or changes in circumstances indicate that the carrying value of these assets may not be recoverable. Goodwill is tested for impairment annually on November 1, the first day of the fourth quarter of the fiscal year. In the year ended January 31, 2020, the Company elected to early adopt ASU 2017-04,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Test for Goodwill Impairment” </w:t>
      </w:r>
      <w:r>
        <w:rPr>
          <w:rFonts w:ascii="Arial" w:cs="Arial" w:eastAsia="Arial" w:hAnsi="Arial"/>
          <w:sz w:val="16"/>
          <w:szCs w:val="16"/>
          <w:color w:val="auto"/>
        </w:rPr>
        <w:t>for its annual goodwill impairment test. ASU 2017-04 removes Step 2 of the goodwill impairment test requiring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purchase price allocation.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There is no goodwill impairment for the years ended January 31, 2018, 2019, and 2020.</w:t>
      </w:r>
    </w:p>
    <w:p>
      <w:pPr>
        <w:spacing w:after="0" w:line="163"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The Company determines the fair value of a reporting unit using a discounted cash flow analysis that is corroborated by a market-based approach. Determining fair value requires the exercise of significant judgment, including judgment about appropriate discount rates, perpetual growth rates and the amount and timing of expected future cash flows. The cash flows employed in the discounted cash flow analyses are based on the most recent budget and long-term forecast. The discount rates used in the discounted cash flow analyses are intended to reflect the risks inherent in the future cash flows of the respective reporting units. The market comparable approach estimates fair value using market multiples of various financial measures compared to a set of comparable public companies and recent comparable transactions.</w:t>
      </w:r>
    </w:p>
    <w:p>
      <w:pPr>
        <w:spacing w:after="0" w:line="174"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b w:val="1"/>
          <w:bCs w:val="1"/>
          <w:color w:val="auto"/>
        </w:rPr>
        <w:t>Business Combinations</w:t>
      </w:r>
      <w:r>
        <w:rPr>
          <w:rFonts w:ascii="Arial" w:cs="Arial" w:eastAsia="Arial" w:hAnsi="Arial"/>
          <w:sz w:val="16"/>
          <w:szCs w:val="16"/>
          <w:color w:val="auto"/>
        </w:rPr>
        <w:t>: Several valuation methods may be used to determine the fair value of assets acquired and liabilities assumed.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uses its best estimates and assumptions to assign fair value to the tangible and intangible assets acquired and liabilities assumed at the acquisition date. The Company’s estimates are inherently uncertain and subject to refinement. For intangible assets, the Company typically uses the income method. This method starts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amount and timing of projected future cash flows, the discount rate selected to measure the risks inherent in the future cash flows and the assessment of the asset’s life cycle and the competitive trends impacting the asset, including consideration of any technical, legal, regulatory or economic barriers to entry. Determining the useful life of an intangible asset also requires judgment as different types of intangible assets will have different useful lives and certain assets may even be considered to have indefinite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9"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7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spacing w:after="0" w:line="188"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7"/>
          <w:szCs w:val="17"/>
          <w:b w:val="1"/>
          <w:bCs w:val="1"/>
          <w:color w:val="auto"/>
        </w:rPr>
        <w:t xml:space="preserve">Deferred Rent: </w:t>
      </w:r>
      <w:r>
        <w:rPr>
          <w:rFonts w:ascii="Arial" w:cs="Arial" w:eastAsia="Arial" w:hAnsi="Arial"/>
          <w:sz w:val="17"/>
          <w:szCs w:val="17"/>
          <w:color w:val="auto"/>
        </w:rPr>
        <w:t>Operating leases rent expense is recognized on a straight-line basis over the terms of the leases and the difference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cash rent payments and recognized rent expense is recorded as a deferred rent liability. Landlord-funded leasehold improvements are also recorded as deferred rent liabilities and amortized as a reduction of rent expense over the non-cancelable term of the related operating lease. The Company may receive rent holidays and other incentives. The Company recognizes lease costs on a straight-line basis once control of the space is achieved, without regard to deferred payments such as rent holidays that defer the commencement date of required payments.</w:t>
      </w:r>
    </w:p>
    <w:p>
      <w:pPr>
        <w:spacing w:after="0" w:line="168" w:lineRule="exact"/>
        <w:rPr>
          <w:sz w:val="20"/>
          <w:szCs w:val="20"/>
          <w:color w:val="auto"/>
        </w:rPr>
      </w:pPr>
    </w:p>
    <w:p>
      <w:pPr>
        <w:ind w:left="120" w:right="20" w:firstLine="881"/>
        <w:spacing w:after="0" w:line="274"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Cost of subscription and support revenues consist of costs related to hosting the Company’s software solution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employee-related costs, including stock-based compensation expenses and allocated overhead associated with customer support. Cost of professional services and other revenues consist of employee-related costs associated with these services, including stock-based compensation expenses, and allocated overhead, and the cost of subcontractors. Allocated 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w:t>
      </w:r>
    </w:p>
    <w:p>
      <w:pPr>
        <w:spacing w:after="0" w:line="173" w:lineRule="exact"/>
        <w:rPr>
          <w:sz w:val="20"/>
          <w:szCs w:val="20"/>
          <w:color w:val="auto"/>
        </w:rPr>
      </w:pPr>
    </w:p>
    <w:p>
      <w:pPr>
        <w:ind w:left="120" w:right="320" w:firstLine="881"/>
        <w:spacing w:after="0" w:line="289" w:lineRule="auto"/>
        <w:rPr>
          <w:sz w:val="20"/>
          <w:szCs w:val="20"/>
          <w:color w:val="auto"/>
        </w:rPr>
      </w:pPr>
      <w:r>
        <w:rPr>
          <w:rFonts w:ascii="Arial" w:cs="Arial" w:eastAsia="Arial" w:hAnsi="Arial"/>
          <w:sz w:val="17"/>
          <w:szCs w:val="17"/>
          <w:b w:val="1"/>
          <w:bCs w:val="1"/>
          <w:color w:val="auto"/>
        </w:rPr>
        <w:t xml:space="preserve">Advertising: </w:t>
      </w:r>
      <w:r>
        <w:rPr>
          <w:rFonts w:ascii="Arial" w:cs="Arial" w:eastAsia="Arial" w:hAnsi="Arial"/>
          <w:sz w:val="17"/>
          <w:szCs w:val="17"/>
          <w:color w:val="auto"/>
        </w:rPr>
        <w:t>Advertising costs are expensed as incurred and consist of advertising, third-party marketing, branded marketing,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conference and event expenses. Advertising expenses are recorded in sales and marketing expenses in the consolidated statements of operations and were $1.2 million, $1.8 million and $3.7 million for the fiscal years ended January 31, 2018, 2019 and 2020, respectively.</w:t>
      </w:r>
    </w:p>
    <w:p>
      <w:pPr>
        <w:spacing w:after="0" w:line="158" w:lineRule="exact"/>
        <w:rPr>
          <w:sz w:val="20"/>
          <w:szCs w:val="20"/>
          <w:color w:val="auto"/>
        </w:rPr>
      </w:pPr>
    </w:p>
    <w:p>
      <w:pPr>
        <w:ind w:left="120" w:right="20" w:firstLine="881"/>
        <w:spacing w:after="0" w:line="30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income taxes are determined using the asset and liability method, whereby deferred tax assets are recognized for</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deductible temporary differences and deferred tax liabilities are recognized for taxable temporary differences. Temporary differences are the differences between the reported amounts of assets and liabilities and their tax bases. Deferred tax assets are also recorded for any tax attribute, such as net operating losses. Deferred tax assets and liabilities are adjusted for the effects of the changes in tax laws and rates</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the date of enactment within income tax expense. The Company reflects the expected amount of income taxes to be paid or refunded during the year as current income tax expense or benefit, as applicable.</w:t>
      </w:r>
    </w:p>
    <w:p>
      <w:pPr>
        <w:spacing w:after="0" w:line="170"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Deferred tax assets are reduced by a valuation allowance when, in the opinion of management, it is more-likely-than-not that some portion or all of the deferred tax assets will not be realized.</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accounting for uncertainty in income taxes also addresses de-recognition, classification, interest, and penalties on income taxes, and accounting interim periods.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When and if applicable, potential interest and penalties are accrued as incurred, within income tax expense.</w:t>
      </w:r>
    </w:p>
    <w:p>
      <w:pPr>
        <w:spacing w:after="0" w:line="221" w:lineRule="exact"/>
        <w:rPr>
          <w:sz w:val="20"/>
          <w:szCs w:val="20"/>
          <w:color w:val="auto"/>
        </w:rPr>
      </w:pPr>
    </w:p>
    <w:p>
      <w:pPr>
        <w:ind w:left="120" w:right="460" w:firstLine="881"/>
        <w:spacing w:after="0" w:line="282"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Accumulated other comprehensive income (loss) is reported as a component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and includes unrealized gains and losses on foreign currency translation adjustments.</w:t>
      </w:r>
    </w:p>
    <w:p>
      <w:pPr>
        <w:spacing w:after="0" w:line="162"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b w:val="1"/>
          <w:bCs w:val="1"/>
          <w:color w:val="auto"/>
        </w:rPr>
        <w:t xml:space="preserve">Foreign Currency Exchange: </w:t>
      </w:r>
      <w:r>
        <w:rPr>
          <w:rFonts w:ascii="Arial" w:cs="Arial" w:eastAsia="Arial" w:hAnsi="Arial"/>
          <w:sz w:val="17"/>
          <w:szCs w:val="17"/>
          <w:color w:val="auto"/>
        </w:rPr>
        <w:t>The functional currency of the Company’s foreign subsidiaries is generally the local currency. Adjustments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translating foreign functional currency financial statements into U.S. dollars are recorded as a separate component on the consolidated statements of comprehensive loss recorded in foreign currency translation line item. Foreign currency transaction gains and losses due to remeasurement are included in other expense in the consolidated statements of operations and were $0.005 million, $0.1 million, and $0.04 million for the fiscal years ended January 31, 2018, 2019 and 2020, respectively, primarily related to various intercompany loans.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72" w:lineRule="exact"/>
        <w:rPr>
          <w:sz w:val="20"/>
          <w:szCs w:val="20"/>
          <w:color w:val="auto"/>
        </w:rPr>
      </w:pPr>
    </w:p>
    <w:p>
      <w:pPr>
        <w:ind w:left="120" w:right="180" w:firstLine="881"/>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As further described in Note 11, the Company records compensation expense associated with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other equity-based compensation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establishes fair value as the measurement objective in accounting for share-based payment transactions with employees and recognizes expense on a straight-line basis over the applicable vesting period.</w:t>
      </w:r>
    </w:p>
    <w:p>
      <w:pPr>
        <w:spacing w:after="0" w:line="180" w:lineRule="exact"/>
        <w:rPr>
          <w:sz w:val="20"/>
          <w:szCs w:val="20"/>
          <w:color w:val="auto"/>
        </w:rPr>
      </w:pPr>
    </w:p>
    <w:p>
      <w:pPr>
        <w:ind w:left="120" w:right="220" w:firstLine="881"/>
        <w:spacing w:after="0" w:line="282" w:lineRule="auto"/>
        <w:rPr>
          <w:sz w:val="20"/>
          <w:szCs w:val="20"/>
          <w:color w:val="auto"/>
        </w:rPr>
      </w:pPr>
      <w:r>
        <w:rPr>
          <w:rFonts w:ascii="Arial" w:cs="Arial" w:eastAsia="Arial" w:hAnsi="Arial"/>
          <w:sz w:val="18"/>
          <w:szCs w:val="18"/>
          <w:b w:val="1"/>
          <w:bCs w:val="1"/>
          <w:color w:val="auto"/>
        </w:rPr>
        <w:t xml:space="preserve">Basic and Diluted Loss per Common Share: </w:t>
      </w:r>
      <w:r>
        <w:rPr>
          <w:rFonts w:ascii="Arial" w:cs="Arial" w:eastAsia="Arial" w:hAnsi="Arial"/>
          <w:sz w:val="18"/>
          <w:szCs w:val="18"/>
          <w:color w:val="auto"/>
        </w:rPr>
        <w:t>Basic loss per share is calculated by dividing the net loss attributable to nCino, Inc. by the</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weighted-average number of shares of common stock outstanding for the period.</w:t>
      </w:r>
    </w:p>
    <w:p>
      <w:pPr>
        <w:spacing w:after="0" w:line="166"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Diluted loss per share is calculated by giving effect to all potentially dilutive common stock, which is comprised of stock options and restricted stock units, when determining the weighted-average number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common shares outstanding. For purposes of the diluted loss per share calculation, basic and diluted loss per share were the same, as the effect of all potentially dilutive securities would have been anti-dilutive.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On May 28, 2014, the FASB issued ASU 2014-09 requiring an entity to recognize the amount of revenues to which it expects to be entitled for the transfer of promised goods or services to customers. ASU 2014-09 also includes Subtopic 340-40, Other Assets and Deferred Costs – Contracts with Customers, which requires the capitalization of incremental costs to obtain a contract with a customer. The new revenue standard replaces most existing revenue recognition guidance in U.S. GAAP and permits the use of either the full retrospective or modified retrospective transition method.</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adopted the requirements of ASU 2014-09 as of February 1, 2019 and utilized the modified retrospective transition method.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recognized the following cumulative effects of initially applying the new revenue standard: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As of January 31,</w:t>
            </w:r>
          </w:p>
        </w:tc>
        <w:tc>
          <w:tcPr>
            <w:tcW w:w="34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color w:val="auto"/>
              </w:rPr>
              <w:t>Topic 606</w:t>
            </w:r>
          </w:p>
        </w:tc>
        <w:tc>
          <w:tcPr>
            <w:tcW w:w="36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As of February 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color w:val="auto"/>
              </w:rPr>
              <w:t>2019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Accounts receivable, less allowance for doubtful accounts </w:t>
            </w:r>
            <w:r>
              <w:rPr>
                <w:rFonts w:ascii="Arial" w:cs="Arial" w:eastAsia="Arial" w:hAnsi="Arial"/>
                <w:sz w:val="15"/>
                <w:szCs w:val="15"/>
                <w:color w:val="auto"/>
              </w:rPr>
              <w:t>(1)</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(1,978)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Costs capitalized to obtain revenue contracts, current portion, net</w:t>
            </w:r>
          </w:p>
        </w:tc>
        <w:tc>
          <w:tcPr>
            <w:tcW w:w="2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2,879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Costs capitalized to obtain revenue contracts, noncurrent,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2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119,966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34,172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825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(825)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53,930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(5,191)</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48,739</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(104,752)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11,422</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Unbilled accounts receivable previously included in Accounts receivable, less allowance for doubtful accounts before the adoption of Topic 606.</w:t>
      </w:r>
    </w:p>
    <w:p>
      <w:pPr>
        <w:spacing w:after="0" w:line="248"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Company recognized the cumulative effect of initially applying the new revenue standard as a positive adjustment to the opening balance of accumulated deficit on the consolidated balance sheet in the amount of $11.4 million, which reflects the acceleration of revenues and deferral of costs capitalized to obtain revenue contracts. The following is a summary of the adoption impacts of the new revenue standard:</w:t>
      </w:r>
    </w:p>
    <w:p>
      <w:pPr>
        <w:spacing w:after="0" w:line="71" w:lineRule="exact"/>
        <w:rPr>
          <w:sz w:val="20"/>
          <w:szCs w:val="20"/>
          <w:color w:val="auto"/>
        </w:rPr>
      </w:pPr>
    </w:p>
    <w:p>
      <w:pPr>
        <w:ind w:left="1420" w:right="320" w:hanging="319"/>
        <w:spacing w:after="0" w:line="263"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capitalized $8.2 million of contract acquisition costs comprised of sales commissions at the adoption date with a corresponding adjustment to accumulated deficit. The Company is amortizing these costs over their respective expected period of benefit.</w:t>
      </w:r>
    </w:p>
    <w:p>
      <w:pPr>
        <w:spacing w:after="0" w:line="89"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adoption, the Company recorded a decrease in deferred revenue of $5.2 million and a decrease of $2.0 million in receivables that were recorded to accumulated deficit.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Adoption of the new revenue standard impacted the Company’s consolidated statement of operations for the year ended January 31, 2020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follows:</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4"/>
          </w:tcPr>
          <w:p>
            <w:pPr>
              <w:jc w:val="center"/>
              <w:ind w:left="119"/>
              <w:spacing w:after="0"/>
              <w:rPr>
                <w:sz w:val="20"/>
                <w:szCs w:val="20"/>
                <w:color w:val="auto"/>
              </w:rPr>
            </w:pPr>
            <w:r>
              <w:rPr>
                <w:rFonts w:ascii="Arial" w:cs="Arial" w:eastAsia="Arial" w:hAnsi="Arial"/>
                <w:sz w:val="14"/>
                <w:szCs w:val="14"/>
                <w:color w:val="auto"/>
                <w:w w:val="96"/>
              </w:rPr>
              <w:t>Amounts without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Topic 606</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Topic 606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auto"/>
              </w:rPr>
              <w:t>As reported</w:t>
            </w:r>
          </w:p>
        </w:tc>
        <w:tc>
          <w:tcPr>
            <w:tcW w:w="1420" w:type="dxa"/>
            <w:vAlign w:val="bottom"/>
            <w:gridSpan w:val="4"/>
          </w:tcPr>
          <w:p>
            <w:pPr>
              <w:jc w:val="right"/>
              <w:ind w:right="380"/>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adoption impact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103,265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34,915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(1,901)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138,180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Subscription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31,062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914</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b w:val="1"/>
                <w:bCs w:val="1"/>
                <w:color w:val="auto"/>
              </w:rPr>
              <w:t>Total cost of revenues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44,440</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2,404</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102,280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nCino, Inc.</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(27,594)</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(30,433)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Adoption of the new revenue standard impacted the Company’s consolidated balance sheet as of January 31, 2020 as follows: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gridSpan w:val="4"/>
          </w:tcPr>
          <w:p>
            <w:pPr>
              <w:jc w:val="center"/>
              <w:ind w:left="188"/>
              <w:spacing w:after="0"/>
              <w:rPr>
                <w:sz w:val="20"/>
                <w:szCs w:val="20"/>
                <w:color w:val="auto"/>
              </w:rPr>
            </w:pPr>
            <w:r>
              <w:rPr>
                <w:rFonts w:ascii="Arial" w:cs="Arial" w:eastAsia="Arial" w:hAnsi="Arial"/>
                <w:sz w:val="14"/>
                <w:szCs w:val="14"/>
                <w:color w:val="auto"/>
                <w:w w:val="96"/>
              </w:rPr>
              <w:t>Amounts without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Topic 606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Topic 606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As reported</w:t>
            </w:r>
          </w:p>
        </w:tc>
        <w:tc>
          <w:tcPr>
            <w:tcW w:w="1520" w:type="dxa"/>
            <w:vAlign w:val="bottom"/>
            <w:gridSpan w:val="4"/>
          </w:tcPr>
          <w:p>
            <w:pPr>
              <w:ind w:left="360"/>
              <w:spacing w:after="0"/>
              <w:rPr>
                <w:sz w:val="20"/>
                <w:szCs w:val="20"/>
                <w:color w:val="auto"/>
              </w:rPr>
            </w:pPr>
            <w:r>
              <w:rPr>
                <w:rFonts w:ascii="Arial" w:cs="Arial" w:eastAsia="Arial" w:hAnsi="Arial"/>
                <w:sz w:val="14"/>
                <w:szCs w:val="14"/>
                <w:color w:val="auto"/>
              </w:rPr>
              <w:t>Adjustments</w:t>
            </w:r>
          </w:p>
        </w:tc>
        <w:tc>
          <w:tcPr>
            <w:tcW w:w="3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adoption impact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Accounts receivable, less allowance for doubtful accounts</w:t>
            </w:r>
          </w:p>
        </w:tc>
        <w:tc>
          <w:tcPr>
            <w:tcW w:w="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34,205</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Costs capitalized to obtain revenue contracts, current</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portion, net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3,608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(3,608)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Costs capitalized to obtain revenue contracts, noncurrent,</w:t>
            </w: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(7,000)</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249,894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(10,348)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239,546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50,929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78,517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3,923</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920" w:type="dxa"/>
            <w:vAlign w:val="bottom"/>
            <w:gridSpan w:val="3"/>
          </w:tcPr>
          <w:p>
            <w:pPr>
              <w:jc w:val="right"/>
              <w:ind w:right="380"/>
              <w:spacing w:after="0"/>
              <w:rPr>
                <w:sz w:val="20"/>
                <w:szCs w:val="20"/>
                <w:color w:val="auto"/>
              </w:rPr>
            </w:pPr>
            <w:r>
              <w:rPr>
                <w:rFonts w:ascii="Arial" w:cs="Arial" w:eastAsia="Arial" w:hAnsi="Arial"/>
                <w:sz w:val="18"/>
                <w:szCs w:val="18"/>
                <w:color w:val="auto"/>
              </w:rPr>
              <w:t>(408)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(120,924)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(14,261)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(135,185)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920" w:type="dxa"/>
            <w:vAlign w:val="bottom"/>
            <w:gridSpan w:val="3"/>
          </w:tcPr>
          <w:p>
            <w:pPr>
              <w:jc w:val="right"/>
              <w:ind w:right="1440"/>
              <w:spacing w:after="0"/>
              <w:rPr>
                <w:sz w:val="20"/>
                <w:szCs w:val="20"/>
                <w:color w:val="auto"/>
              </w:rPr>
            </w:pPr>
            <w:r>
              <w:rPr>
                <w:rFonts w:ascii="Arial" w:cs="Arial" w:eastAsia="Arial" w:hAnsi="Arial"/>
                <w:sz w:val="18"/>
                <w:szCs w:val="18"/>
                <w:color w:val="auto"/>
              </w:rPr>
              <w:t>F-19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adoption of ASU 2014-09 had no impact on cash provided by or used in operating, investing, or financing activities in the Company’s consolidated statement of cash flows. Additionally, the adoption of ASU 2014-09 did not have a material impact on the Company’s consolidated statement of comprehensive loss or the provision for income taxes.</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most significant impact of the new revenue standard relates to the capitalization of certain incremental costs to acquire contracts and the requirement to amortize these amounts over the expected period of benefit. Under the previous standard, the Company expensed costs related to the acquisition of revenue generating contracts as incurred. There was impact from arrangements with customers that include subscription services bundled with professional services driven by a change in allocation of transaction value amongst performance obligations under the new standard. Additionally, there was impact from the Company’s acquisitions which are not material to the Company’s overall revenues. These consisted of principal versus agent consideration (reporting revenues gross vs. net – approximately a $0.9 million decrease to subscription revenues and cost of revenues to present net under ASU 2014-09) and a perpetual license model (approximately $0.6 million increase impact to subscription revenues to accelerate revenues).</w:t>
      </w:r>
    </w:p>
    <w:p>
      <w:pPr>
        <w:spacing w:after="0" w:line="166"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Other impacts to policies and disclosures include deferred recognition of revenues for certain contracts, the requirement to estimate variable consideration for certain arrangements, increased allocation of revenues to and from professional services and other offerings and changes to financial statement disclosures such as new disclosures related to remaining performance obligations. However, the timing and pattern of revenue recognition related to professional services remain substantially unchanged.</w:t>
      </w:r>
    </w:p>
    <w:p>
      <w:pPr>
        <w:spacing w:after="0" w:line="187" w:lineRule="exact"/>
        <w:rPr>
          <w:sz w:val="20"/>
          <w:szCs w:val="20"/>
          <w:color w:val="auto"/>
        </w:rPr>
      </w:pPr>
    </w:p>
    <w:p>
      <w:pPr>
        <w:jc w:val="both"/>
        <w:ind w:left="120" w:right="180" w:firstLine="881"/>
        <w:spacing w:after="0" w:line="259" w:lineRule="auto"/>
        <w:rPr>
          <w:sz w:val="20"/>
          <w:szCs w:val="20"/>
          <w:color w:val="auto"/>
        </w:rPr>
      </w:pPr>
      <w:r>
        <w:rPr>
          <w:rFonts w:ascii="Arial" w:cs="Arial" w:eastAsia="Arial" w:hAnsi="Arial"/>
          <w:sz w:val="18"/>
          <w:szCs w:val="18"/>
          <w:color w:val="auto"/>
        </w:rPr>
        <w:t>The Company utilized the transitional practical expedient provisions in adopting ASU 2014-09 to apply the new revenue standard and the related changes retrospectively to contracts that were not completed contracts upon initial application. Additionally, the Company did not analyze and separately retrospectively restate each contract modification, but instead reflected the aggregate effect of all modifications occurring before the date of adoption consistent with the transition guidance.</w:t>
      </w:r>
    </w:p>
    <w:p>
      <w:pPr>
        <w:spacing w:after="0" w:line="187"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The Company also adopted the following ASUs effective February 1, 2019, none of which had a material impact on the Company’s consolidated financial statements.</w:t>
      </w:r>
    </w:p>
    <w:p>
      <w:pPr>
        <w:spacing w:after="0" w:line="76" w:lineRule="exact"/>
        <w:rPr>
          <w:sz w:val="20"/>
          <w:szCs w:val="20"/>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ASU 2016-15, </w:t>
      </w:r>
      <w:r>
        <w:rPr>
          <w:rFonts w:ascii="Arial" w:cs="Arial" w:eastAsia="Arial" w:hAnsi="Arial"/>
          <w:sz w:val="18"/>
          <w:szCs w:val="18"/>
          <w:i w:val="1"/>
          <w:iCs w:val="1"/>
          <w:color w:val="auto"/>
        </w:rPr>
        <w:t>Statement of Cash Flows (Topic 230): Classification of Certain Receipts and Cash Payments</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ASU No. 2016-16, </w:t>
      </w:r>
      <w:r>
        <w:rPr>
          <w:rFonts w:ascii="Arial" w:cs="Arial" w:eastAsia="Arial" w:hAnsi="Arial"/>
          <w:sz w:val="18"/>
          <w:szCs w:val="18"/>
          <w:i w:val="1"/>
          <w:iCs w:val="1"/>
          <w:color w:val="auto"/>
        </w:rPr>
        <w:t>Income Taxes (Topic 740): Intra-Entity Transfers of Assets Other Than Inventory</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ASU 2017-04, </w:t>
      </w:r>
      <w:r>
        <w:rPr>
          <w:rFonts w:ascii="Arial" w:cs="Arial" w:eastAsia="Arial" w:hAnsi="Arial"/>
          <w:sz w:val="18"/>
          <w:szCs w:val="18"/>
          <w:i w:val="1"/>
          <w:iCs w:val="1"/>
          <w:color w:val="auto"/>
        </w:rPr>
        <w:t>Intangibles – Goodwill and Other (Topic 350): Simplifying the Test for Goodwill Impairment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ASU 2018-07, </w:t>
      </w:r>
      <w:r>
        <w:rPr>
          <w:rFonts w:ascii="Arial" w:cs="Arial" w:eastAsia="Arial" w:hAnsi="Arial"/>
          <w:sz w:val="16"/>
          <w:szCs w:val="16"/>
          <w:i w:val="1"/>
          <w:iCs w:val="1"/>
          <w:color w:val="auto"/>
        </w:rPr>
        <w:t>Compensation – Stock Compensation (Topic 718): Improvements to Nonemployee Share-Based Payment Accounting</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the underlying asset available to the lessee. For lessors, accounting for leases is substantially the same as in prior periods.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2020, and interim periods within annual periods beginning after December 15, 2021,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66"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changes the impairment model for most financial assets. The new model uses a forward-looking expected loss method,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The Company is currently evaluating the impact of this standard to the consolidated financial statements.</w:t>
      </w:r>
    </w:p>
    <w:p>
      <w:pPr>
        <w:spacing w:after="0" w:line="161"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which eliminates certain disclosure requirements for fair value measurements for all entities, requires public</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is currently evaluating the impact of this standard to the consolidated financial statements.</w:t>
      </w:r>
    </w:p>
    <w:p>
      <w:pPr>
        <w:spacing w:after="0" w:line="192"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This standard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is currently evaluating the impact of this standard to the consolidated financial statements.</w:t>
      </w:r>
    </w:p>
    <w:p>
      <w:pPr>
        <w:spacing w:after="0" w:line="164" w:lineRule="exact"/>
        <w:rPr>
          <w:sz w:val="20"/>
          <w:szCs w:val="20"/>
          <w:color w:val="auto"/>
        </w:rPr>
      </w:pPr>
    </w:p>
    <w:p>
      <w:pPr>
        <w:ind w:left="120" w:right="160" w:firstLine="881"/>
        <w:spacing w:after="0" w:line="293" w:lineRule="auto"/>
        <w:rPr>
          <w:sz w:val="20"/>
          <w:szCs w:val="20"/>
          <w:color w:val="auto"/>
        </w:rPr>
      </w:pPr>
      <w:r>
        <w:rPr>
          <w:rFonts w:ascii="Arial" w:cs="Arial" w:eastAsia="Arial" w:hAnsi="Arial"/>
          <w:sz w:val="16"/>
          <w:szCs w:val="16"/>
          <w:color w:val="auto"/>
        </w:rPr>
        <w:t xml:space="preserve">In October 2018, the FASB issued Accounting Standards Update (“ASU”) 2018-17, </w:t>
      </w:r>
      <w:r>
        <w:rPr>
          <w:rFonts w:ascii="Arial" w:cs="Arial" w:eastAsia="Arial" w:hAnsi="Arial"/>
          <w:sz w:val="16"/>
          <w:szCs w:val="16"/>
          <w:i w:val="1"/>
          <w:iCs w:val="1"/>
          <w:color w:val="auto"/>
        </w:rPr>
        <w:t>Consolidation (Topic 810),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 which addresses the cost and complexity of financial reporting associated with consolidation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entities (“VIE”).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Company is evaluating the effect of adopting this new accounting guidance, but does not expect adoption will have a material impact on the Company’s financial statements.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In December 2019, the FASB issued ASU 2019-12, I</w:t>
      </w:r>
      <w:r>
        <w:rPr>
          <w:rFonts w:ascii="Arial" w:cs="Arial" w:eastAsia="Arial" w:hAnsi="Arial"/>
          <w:sz w:val="16"/>
          <w:szCs w:val="16"/>
          <w:i w:val="1"/>
          <w:iCs w:val="1"/>
          <w:color w:val="auto"/>
        </w:rPr>
        <w:t>ncome Taxes (Topic 740): Simplifying the Accounting for Income Taxes</w:t>
      </w:r>
      <w:r>
        <w:rPr>
          <w:rFonts w:ascii="Arial" w:cs="Arial" w:eastAsia="Arial" w:hAnsi="Arial"/>
          <w:sz w:val="16"/>
          <w:szCs w:val="16"/>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The Company is evaluating the effect of adopting this new accounting guidance, but does not expect adoption will have a material impact on the Company’s financial statements.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12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approximately $4.7 million in cash in exchange for 51% of the outstanding common stock of nCino K.K. As of January 31, 2020, the Company controls a majority stake in nCino K.K.</w:t>
      </w:r>
    </w:p>
    <w:p>
      <w:pPr>
        <w:spacing w:after="0" w:line="187"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upon certain contingent events. Should the call or put option be exercised, the redemption value would be determined based on a prescribed formula derived from the discrete revenues of nCino K.K. and the Company and may be settled, at the Company’s discretion, with Company stock, if the Company is public at that time, or cash. As a result of the put right available to the redeemable non-controlling interest holders in the future, the redeemable non-controlling interests in nCino</w:t>
      </w:r>
    </w:p>
    <w:p>
      <w:pPr>
        <w:spacing w:after="0" w:line="1" w:lineRule="exact"/>
        <w:rPr>
          <w:sz w:val="20"/>
          <w:szCs w:val="20"/>
          <w:color w:val="auto"/>
        </w:rPr>
      </w:pPr>
    </w:p>
    <w:p>
      <w:pPr>
        <w:ind w:left="120" w:right="80" w:hanging="4"/>
        <w:spacing w:after="0" w:line="295" w:lineRule="auto"/>
        <w:tabs>
          <w:tab w:leader="none" w:pos="515" w:val="left"/>
        </w:tabs>
        <w:numPr>
          <w:ilvl w:val="0"/>
          <w:numId w:val="94"/>
        </w:numPr>
        <w:rPr>
          <w:rFonts w:ascii="Arial" w:cs="Arial" w:eastAsia="Arial" w:hAnsi="Arial"/>
          <w:sz w:val="16"/>
          <w:szCs w:val="16"/>
          <w:color w:val="auto"/>
        </w:rPr>
      </w:pPr>
      <w:r>
        <w:rPr>
          <w:rFonts w:ascii="Arial" w:cs="Arial" w:eastAsia="Arial" w:hAnsi="Arial"/>
          <w:sz w:val="16"/>
          <w:szCs w:val="16"/>
          <w:color w:val="auto"/>
        </w:rPr>
        <w:t>are classified outside of permanent equity in the Company’s consolidated balance sheet at January 31, 2020,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 The estimated redemption value of the call/put option embedded in the redeemable non-controlling interest was $0 at January 31, 2020.</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Investment by redeemable non-controlling interest</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4,513</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4,356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 fair value as of January 31, 2019 and 2020 because of the relatively short duration of these instruments.</w:t>
      </w:r>
    </w:p>
    <w:p>
      <w:pPr>
        <w:spacing w:after="0" w:line="170"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2019 and 2020 and indicates the fair value hierarchy of the valuation: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7"/>
          </w:tcPr>
          <w:p>
            <w:pPr>
              <w:jc w:val="center"/>
              <w:ind w:left="157"/>
              <w:spacing w:after="0"/>
              <w:rPr>
                <w:sz w:val="20"/>
                <w:szCs w:val="20"/>
                <w:color w:val="auto"/>
              </w:rPr>
            </w:pPr>
            <w:r>
              <w:rPr>
                <w:rFonts w:ascii="Arial" w:cs="Arial" w:eastAsia="Arial" w:hAnsi="Arial"/>
                <w:sz w:val="14"/>
                <w:szCs w:val="14"/>
                <w:color w:val="auto"/>
                <w:w w:val="91"/>
              </w:rPr>
              <w:t>Fair value measurements on a recurring basis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As of January 31, 2019</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Level 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2"/>
                <w:szCs w:val="12"/>
                <w:color w:val="auto"/>
              </w:rPr>
            </w:pPr>
          </w:p>
        </w:tc>
        <w:tc>
          <w:tcPr>
            <w:tcW w:w="68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Money market accounts (included in cash and cash 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59,630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7"/>
          </w:tcPr>
          <w:p>
            <w:pPr>
              <w:jc w:val="center"/>
              <w:ind w:left="157"/>
              <w:spacing w:after="0"/>
              <w:rPr>
                <w:sz w:val="20"/>
                <w:szCs w:val="20"/>
                <w:color w:val="auto"/>
              </w:rPr>
            </w:pPr>
            <w:r>
              <w:rPr>
                <w:rFonts w:ascii="Arial" w:cs="Arial" w:eastAsia="Arial" w:hAnsi="Arial"/>
                <w:sz w:val="14"/>
                <w:szCs w:val="14"/>
                <w:color w:val="auto"/>
                <w:w w:val="91"/>
              </w:rPr>
              <w:t>Fair value measurements on a recurring basis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As of January 31, 2020</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Level 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2"/>
                <w:szCs w:val="12"/>
                <w:color w:val="auto"/>
              </w:rPr>
            </w:pPr>
          </w:p>
        </w:tc>
        <w:tc>
          <w:tcPr>
            <w:tcW w:w="68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Money market accounts (included in cash and cash 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(included in other long-term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Company added contingent consideration, a Level 3 measurement, on October 18, 2019 with the acquisition of FinSuite Pty Ltd. Changes in fair value of the contingent consideration are recorded in the consolidated statements of operations within other income. The Company’s contingent consideration is valued using a probability weighted discounted cash flow analysis. Refer to Note 7, Business Combinations, for additional detailed discussion. A reconciliation of the beginning and ending balances for contingent consideration obligations are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5"/>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Translation adjustments</w:t>
            </w: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Translation adjustments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88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Revenues</w:t>
            </w: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20" w:type="dxa"/>
            <w:vAlign w:val="bottom"/>
            <w:gridSpan w:val="3"/>
            <w:vMerge w:val="continue"/>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Revenue by Geographic Area</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3"/>
          </w:tcPr>
          <w:p>
            <w:pPr>
              <w:ind w:left="880"/>
              <w:spacing w:after="0"/>
              <w:rPr>
                <w:sz w:val="20"/>
                <w:szCs w:val="20"/>
                <w:color w:val="auto"/>
              </w:rPr>
            </w:pPr>
            <w:r>
              <w:rPr>
                <w:rFonts w:ascii="Arial" w:cs="Arial" w:eastAsia="Arial" w:hAnsi="Arial"/>
                <w:sz w:val="18"/>
                <w:szCs w:val="18"/>
                <w:color w:val="auto"/>
              </w:rPr>
              <w:t>Revenue by geographic region were as follows: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80" w:type="dxa"/>
            <w:vAlign w:val="bottom"/>
            <w:gridSpan w:val="9"/>
          </w:tcPr>
          <w:p>
            <w:pPr>
              <w:ind w:left="460"/>
              <w:spacing w:after="0"/>
              <w:rPr>
                <w:sz w:val="20"/>
                <w:szCs w:val="20"/>
                <w:color w:val="auto"/>
              </w:rPr>
            </w:pPr>
            <w:r>
              <w:rPr>
                <w:rFonts w:ascii="Arial" w:cs="Arial" w:eastAsia="Arial" w:hAnsi="Arial"/>
                <w:sz w:val="14"/>
                <w:szCs w:val="14"/>
                <w:color w:val="auto"/>
              </w:rPr>
              <w:t>Fiscal Year Ended January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2018</w:t>
            </w:r>
          </w:p>
        </w:tc>
        <w:tc>
          <w:tcPr>
            <w:tcW w:w="102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$58,075</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$87,328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$127,192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58,142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Revenues by geography are determined based on the region of the Company’s contracting entity, which may be different than the region of the customer. No countries outside the United States represented 10% or more of total revenues.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Amounts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Unbilled accounts receivable were included in accounts receivable before the adoption of ASU 2014-09. Accounts receivable, less allowance for doubtful accounts, is as follows as of January 31, 2019 and 2020:</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color w:val="auto"/>
              </w:rPr>
              <w:t>As of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$21,999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$32,686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3720" w:type="dxa"/>
            <w:vAlign w:val="bottom"/>
            <w:gridSpan w:val="3"/>
          </w:tcPr>
          <w:p>
            <w:pPr>
              <w:jc w:val="right"/>
              <w:ind w:right="300"/>
              <w:spacing w:after="0"/>
              <w:rPr>
                <w:sz w:val="20"/>
                <w:szCs w:val="20"/>
                <w:color w:val="auto"/>
              </w:rPr>
            </w:pPr>
            <w:r>
              <w:rPr>
                <w:rFonts w:ascii="Arial" w:cs="Arial" w:eastAsia="Arial" w:hAnsi="Arial"/>
                <w:sz w:val="18"/>
                <w:szCs w:val="18"/>
                <w:color w:val="auto"/>
              </w:rPr>
              <w:t>3,589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3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Allowances</w:t>
            </w:r>
          </w:p>
        </w:tc>
        <w:tc>
          <w:tcPr>
            <w:tcW w:w="28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2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25,495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720" w:type="dxa"/>
            <w:vAlign w:val="bottom"/>
            <w:gridSpan w:val="3"/>
          </w:tcPr>
          <w:p>
            <w:pPr>
              <w:jc w:val="right"/>
              <w:ind w:right="2660"/>
              <w:spacing w:after="0"/>
              <w:rPr>
                <w:sz w:val="20"/>
                <w:szCs w:val="20"/>
                <w:color w:val="auto"/>
              </w:rPr>
            </w:pPr>
            <w:r>
              <w:rPr>
                <w:rFonts w:ascii="Arial" w:cs="Arial" w:eastAsia="Arial" w:hAnsi="Arial"/>
                <w:sz w:val="18"/>
                <w:szCs w:val="18"/>
                <w:color w:val="auto"/>
              </w:rPr>
              <w:t>F-24</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Revenues (Continued)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 and Remaining Performance Obligation</w:t>
      </w:r>
    </w:p>
    <w:p>
      <w:pPr>
        <w:spacing w:after="0" w:line="117"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Significant movements in the deferred revenue balance during the period consisted of increases due to payments received prior to transfer of control of the underlying performance obligations to the customer and deferred revenue assumed through business combinations, which were offset by decreases due to revenue recognized in the period. During the year ended January 31, 2020, approximately $36.7 million of revenue was recognized that was included in the adjusted opening balance of deferred revenue as of February 1, 2019.</w:t>
      </w:r>
    </w:p>
    <w:p>
      <w:pPr>
        <w:spacing w:after="0" w:line="171"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Transaction price allocated to remaining performance obligations represents contracted revenue that has not yet been recognized, which includes deferred revenue and unbilled amounts that will be recognized as revenue in future periods. Transaction price allocated to the remaining performance obligation is influenced by several factors, including the timing of renewals, average contract terms and foreign currency exchange rates. The Company applied practical expedients to exclude amounts related to performance obligations that are billed and recognized as they are delivered, optional purchases that do not represent material rights, and any estimated amounts of variable consideration that are subject to constraint in accordance with the new revenue standard.</w:t>
      </w:r>
    </w:p>
    <w:p>
      <w:pPr>
        <w:spacing w:after="0" w:line="192" w:lineRule="exact"/>
        <w:rPr>
          <w:sz w:val="20"/>
          <w:szCs w:val="20"/>
          <w:color w:val="auto"/>
        </w:rPr>
      </w:pPr>
    </w:p>
    <w:p>
      <w:pPr>
        <w:ind w:left="120" w:right="420" w:firstLine="881"/>
        <w:spacing w:after="0" w:line="263" w:lineRule="auto"/>
        <w:rPr>
          <w:sz w:val="20"/>
          <w:szCs w:val="20"/>
          <w:color w:val="auto"/>
        </w:rPr>
      </w:pPr>
      <w:r>
        <w:rPr>
          <w:rFonts w:ascii="Arial" w:cs="Arial" w:eastAsia="Arial" w:hAnsi="Arial"/>
          <w:sz w:val="18"/>
          <w:szCs w:val="18"/>
          <w:color w:val="auto"/>
        </w:rPr>
        <w:t>Remaining performance obligations were approximately $431.5 million as of January 31, 2020. The Company expects to recognize approximately 59% of its remaining performance obligation as revenues in the next 24 months, approximately 34% more in the following 25 to 48 months, and the remainder thereafter.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Costs Capitalized to Obtain Revenue Contracts</w:t>
      </w:r>
    </w:p>
    <w:p>
      <w:pPr>
        <w:spacing w:after="0" w:line="11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During the fiscal year ended January 31, 2020, we amortized $0.01 million of capitalized contract acquisition costs into costs of revenues – professional services, $0.02 million within research and development and $3.2 million within sales and marketing expense. We did not incur any impairment losses.</w:t>
      </w:r>
    </w:p>
    <w:p>
      <w:pPr>
        <w:spacing w:after="0" w:line="184"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The opening balance of capitalized contract acquisition costs as of February 1, 2019 was $8.2 million. As of January 31, 2020, the balance of capitalized contract acquisition costs was $10.6 million, of which $7.0 million was long-term in the consolidated balance sheets. The remaining balance of the capitalized costs to obtain contracts was current.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Property and Equipment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 and equipment, net consisted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color w:val="auto"/>
              </w:rPr>
              <w:t>As of January 31,</w:t>
            </w:r>
          </w:p>
        </w:tc>
      </w:tr>
      <w:tr>
        <w:trPr>
          <w:trHeight w:val="142"/>
        </w:trPr>
        <w:tc>
          <w:tcPr>
            <w:tcW w:w="312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2019</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3,907</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Construction-in-progress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r>
      <w:tr>
        <w:trPr>
          <w:trHeight w:val="27"/>
        </w:trPr>
        <w:tc>
          <w:tcPr>
            <w:tcW w:w="3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14,026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19,677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(3,620)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(6,200)</w:t>
            </w:r>
          </w:p>
        </w:tc>
      </w:tr>
      <w:tr>
        <w:trPr>
          <w:trHeight w:val="27"/>
        </w:trPr>
        <w:tc>
          <w:tcPr>
            <w:tcW w:w="3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10,406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13,477</w:t>
            </w:r>
          </w:p>
        </w:tc>
      </w:tr>
      <w:tr>
        <w:trPr>
          <w:trHeight w:val="372"/>
        </w:trPr>
        <w:tc>
          <w:tcPr>
            <w:tcW w:w="3120" w:type="dxa"/>
            <w:vAlign w:val="bottom"/>
          </w:tcPr>
          <w:p>
            <w:pPr>
              <w:spacing w:after="0"/>
              <w:rPr>
                <w:sz w:val="24"/>
                <w:szCs w:val="24"/>
                <w:color w:val="auto"/>
              </w:rPr>
            </w:pPr>
          </w:p>
        </w:tc>
        <w:tc>
          <w:tcPr>
            <w:tcW w:w="3420" w:type="dxa"/>
            <w:vAlign w:val="bottom"/>
          </w:tcPr>
          <w:p>
            <w:pPr>
              <w:ind w:left="900"/>
              <w:spacing w:after="0"/>
              <w:rPr>
                <w:sz w:val="20"/>
                <w:szCs w:val="20"/>
                <w:color w:val="auto"/>
              </w:rPr>
            </w:pPr>
            <w:r>
              <w:rPr>
                <w:rFonts w:ascii="Arial" w:cs="Arial" w:eastAsia="Arial" w:hAnsi="Arial"/>
                <w:sz w:val="18"/>
                <w:szCs w:val="18"/>
                <w:color w:val="auto"/>
              </w:rPr>
              <w:t>F-25</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Property and Equipment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recognized depreciation expense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60" w:type="dxa"/>
            <w:vAlign w:val="bottom"/>
            <w:gridSpan w:val="8"/>
          </w:tcPr>
          <w:p>
            <w:pPr>
              <w:ind w:left="220"/>
              <w:spacing w:after="0"/>
              <w:rPr>
                <w:sz w:val="20"/>
                <w:szCs w:val="20"/>
                <w:color w:val="auto"/>
              </w:rPr>
            </w:pPr>
            <w:r>
              <w:rPr>
                <w:rFonts w:ascii="Arial" w:cs="Arial" w:eastAsia="Arial" w:hAnsi="Arial"/>
                <w:sz w:val="14"/>
                <w:szCs w:val="14"/>
                <w:color w:val="auto"/>
              </w:rPr>
              <w:t>Fiscal Year Ended January 31,</w:t>
            </w: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2018</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2019</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Sales and marketing</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Subsequent to January 31, 2020, the Company entered into commitments in the amount of $1.2 million for additional furniture and fixtures and leasehold improvements.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Visible Equity, LLC</w:t>
      </w:r>
    </w:p>
    <w:p>
      <w:pPr>
        <w:spacing w:after="0" w:line="121" w:lineRule="exact"/>
        <w:rPr>
          <w:sz w:val="20"/>
          <w:szCs w:val="20"/>
          <w:color w:val="auto"/>
        </w:rPr>
      </w:pPr>
    </w:p>
    <w:p>
      <w:pPr>
        <w:jc w:val="both"/>
        <w:ind w:left="120" w:right="160" w:firstLine="881"/>
        <w:spacing w:after="0" w:line="275" w:lineRule="auto"/>
        <w:rPr>
          <w:sz w:val="20"/>
          <w:szCs w:val="20"/>
          <w:color w:val="auto"/>
        </w:rPr>
      </w:pPr>
      <w:r>
        <w:rPr>
          <w:rFonts w:ascii="Arial" w:cs="Arial" w:eastAsia="Arial" w:hAnsi="Arial"/>
          <w:sz w:val="17"/>
          <w:szCs w:val="17"/>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 The Company has included the financial results of Visible Equity in the consolidated statements of operations from the date of acquisition. The transaction costs associated with the acquisition were approximately $0.8 million and were primarily recorded in general and administrative expenses.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7"/>
              </w:rPr>
              <w:t>Consideration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members</w:t>
            </w: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49,428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Voting common stock issued (1,438,805 shares)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w w:val="94"/>
              </w:rPr>
              <w:t>23,812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73,240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fair value of the Company’s voting common stock was determined by management to be $16.55 per share with the assistance of a third-party valuation specialist.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Fair</w:t>
            </w:r>
          </w:p>
        </w:tc>
      </w:t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Value</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46,584</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6"/>
              </w:rPr>
              <w:t>Accounts payable, accrued expenses and other liabilities, current and noncurrent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(1,804)</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73,240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Fair</w:t>
            </w:r>
          </w:p>
        </w:tc>
        <w:tc>
          <w:tcPr>
            <w:tcW w:w="3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Useful</w:t>
            </w:r>
          </w:p>
        </w:tc>
      </w:tr>
      <w:tr>
        <w:trPr>
          <w:trHeight w:val="167"/>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Value</w:t>
            </w:r>
          </w:p>
        </w:tc>
        <w:tc>
          <w:tcPr>
            <w:tcW w:w="3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Life</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21,600</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 years</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&lt; 1 year</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25,500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0" w:firstLine="881"/>
        <w:spacing w:after="0" w:line="308" w:lineRule="auto"/>
        <w:rPr>
          <w:sz w:val="20"/>
          <w:szCs w:val="20"/>
          <w:color w:val="auto"/>
        </w:rPr>
      </w:pPr>
      <w:r>
        <w:rPr>
          <w:rFonts w:ascii="Arial" w:cs="Arial" w:eastAsia="Arial" w:hAnsi="Arial"/>
          <w:sz w:val="17"/>
          <w:szCs w:val="17"/>
          <w:color w:val="auto"/>
        </w:rPr>
        <w:t>Developed technology represents the fair value of Visible Equity’s technology. Customer relationships represent the fair value of the underlying relationships with Visible Equity’s customers. Trademarks represent the fair value of Visible Equity’s company name.</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Goodwill is mainly attributable to synergies expected from the acquisition and assembled workforce and is expected to be deductible for tax</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purposes.</w:t>
      </w:r>
    </w:p>
    <w:p>
      <w:pPr>
        <w:spacing w:after="0" w:line="211"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The results of operations of Visible Equity since the acquisition are included in our consolidated statements of operations for the year ended January 31, 2020. The revenues and results of operations attributable to Visible Equity for the period from the date of acquisition, July 8, 2019 through January 31, 2020 were $5.6 million and a $1.7 million loss,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Finsuite Pty Ltd</w:t>
      </w:r>
    </w:p>
    <w:p>
      <w:pPr>
        <w:spacing w:after="0" w:line="121" w:lineRule="exact"/>
        <w:rPr>
          <w:sz w:val="20"/>
          <w:szCs w:val="20"/>
          <w:color w:val="auto"/>
        </w:rPr>
      </w:pPr>
    </w:p>
    <w:p>
      <w:pPr>
        <w:ind w:left="120" w:right="260" w:firstLine="881"/>
        <w:spacing w:after="0" w:line="258" w:lineRule="auto"/>
        <w:rPr>
          <w:sz w:val="20"/>
          <w:szCs w:val="20"/>
          <w:color w:val="auto"/>
        </w:rPr>
      </w:pPr>
      <w:r>
        <w:rPr>
          <w:rFonts w:ascii="Arial" w:cs="Arial" w:eastAsia="Arial" w:hAnsi="Arial"/>
          <w:sz w:val="18"/>
          <w:szCs w:val="18"/>
          <w:color w:val="auto"/>
        </w:rPr>
        <w:t>On October 18, 2019, the Company, through its wholly-owned subsidiary, nCino APAC Pty Ltd, acquired all of the outstanding shares of FinSuite Pty Ltd (“FinSuite”). The Company acquired FinSuite to</w:t>
      </w:r>
    </w:p>
    <w:p>
      <w:pPr>
        <w:spacing w:after="0" w:line="1"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enhance the Company’s data recognition capabilities, including complex, unstructured data. FinSuite is headquartered in Melbourne, Australia. The Company has included the financial results of FinSuite in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consolidated statement of operations from the date of acquisition. The transaction costs associated with the acquisition were approximately $0.3 million and are included in general and administrative expenses in the consolidated statement of operations for the fiscal year ended January 31, 2020.</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color w:val="auto"/>
              </w:rPr>
              <w:t>Total</w:t>
            </w:r>
          </w:p>
        </w:tc>
      </w:tr>
      <w:tr>
        <w:trPr>
          <w:trHeight w:val="167"/>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color w:val="auto"/>
                <w:w w:val="94"/>
              </w:rPr>
              <w:t>Consideration</w:t>
            </w: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shareholders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consideration to settle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Voting common stock issued (63,967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Contingent consideration – cash payment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 voting common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5,857</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fair value of the Company’s voting common stock was determined by management to be $21.75 per share based upon the transaction price of the Company’s capital raise in September 2019, which is indicative of an observable price in the Company’s principal market at the time of acquisition.</w:t>
      </w:r>
    </w:p>
    <w:p>
      <w:pPr>
        <w:spacing w:after="0" w:line="18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 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92"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fair value of the contingent consideration at the date of acquisition, approximately $6.0 million, was determined based upon a probability-weighted discounted cash flow model. The cash portion of the contingent consideration, $0.2 million, was recorded as of the acquisition date and is included in other long-term liabilities in the accompanying consolidated balance sheet as of January 31, 2020. The share portion of the contingent consideration was recorded as of the acquisition date and is reflected as a component of stockholders’ equity in the accompanying consolidated balance sheet as of January 31, 2020.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Fair Value</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9,405</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6"/>
              </w:rPr>
              <w:t>Accounts payable, accrued expenses and other liabilities, current and noncurrent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5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color w:val="auto"/>
              </w:rPr>
              <w:t>Fair Value</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Useful Life</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2,244</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107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 years</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&lt; 1 year</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2,376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Developed technology represents the fair value of FinSuite’s technology. Customer relationships represent the fair value of the underlying relationships with FinSuite’s customers. Trademarks represent the fair value of FinSuite’s company name.</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not expected to be deductible for tax purposes.</w:t>
      </w:r>
    </w:p>
    <w:p>
      <w:pPr>
        <w:spacing w:after="0" w:line="170"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results of operations of FinSuite since the acquisition are included in the Company’s consolidated statements of operations for the year ended January 31, 2020. The revenues and results of operations attributable to FinSuite for the period from the date of acquisition, October 18, 2019 through January 31, 2020 were $0.8 million and $0.3 million income, respectively.</w:t>
      </w:r>
    </w:p>
    <w:p>
      <w:pPr>
        <w:spacing w:after="0" w:line="184"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 pro forma statements of operations for the years ended January 31, 2019 and January 31, 2020, shown in the table below, give effect to the Visible Equity and FinSuite acquisitions, described above, as if they had occurred on February 1, 2018. These amounts have been calculated after applying the Company’s accounting policies and adjusting the results of Visible Equity and FinSuite to reflect the intangible amortization, stock-based compensation, and related items, and the adjustments to acquired deferred revenue that would have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occurred assuming the fair value adjustments had been applied and incurred since February 1, 2018. This pro forma data is presented for informational purposes only and is not indicative of future results of operations. The table below shows the pro forma statements of operations for the respective years ending January 31:</w:t>
      </w:r>
    </w:p>
    <w:p>
      <w:pPr>
        <w:spacing w:after="0" w:line="206"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(Unaudited)</w:t>
      </w:r>
    </w:p>
    <w:p>
      <w:pPr>
        <w:ind w:left="8420"/>
        <w:spacing w:after="0" w:line="231" w:lineRule="auto"/>
        <w:rPr>
          <w:sz w:val="20"/>
          <w:szCs w:val="20"/>
          <w:color w:val="auto"/>
        </w:rPr>
      </w:pPr>
      <w:r>
        <w:rPr>
          <w:rFonts w:ascii="Arial" w:cs="Arial" w:eastAsia="Arial" w:hAnsi="Arial"/>
          <w:sz w:val="14"/>
          <w:szCs w:val="14"/>
          <w:color w:val="auto"/>
        </w:rPr>
        <w:t>January 31,</w:t>
      </w:r>
    </w:p>
    <w:tbl>
      <w:tblPr>
        <w:tblLayout w:type="fixed"/>
        <w:tblInd w:w="120" w:type="dxa"/>
        <w:tblCellMar>
          <w:top w:w="0" w:type="dxa"/>
          <w:left w:w="0" w:type="dxa"/>
          <w:bottom w:w="0" w:type="dxa"/>
          <w:right w:w="0" w:type="dxa"/>
        </w:tblCellMar>
      </w:tblP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gridSpan w:val="4"/>
          </w:tcPr>
          <w:p>
            <w:pPr>
              <w:jc w:val="right"/>
              <w:ind w:right="121"/>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6"/>
          </w:tcPr>
          <w:p>
            <w:pPr>
              <w:jc w:val="right"/>
              <w:ind w:right="200"/>
              <w:spacing w:after="0" w:line="142"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$102,244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$142,958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7"/>
          </w:tcPr>
          <w:p>
            <w:pPr>
              <w:jc w:val="right"/>
              <w:ind w:right="80"/>
              <w:spacing w:after="0"/>
              <w:rPr>
                <w:sz w:val="20"/>
                <w:szCs w:val="20"/>
                <w:color w:val="auto"/>
              </w:rPr>
            </w:pPr>
            <w:r>
              <w:rPr>
                <w:rFonts w:ascii="Arial" w:cs="Arial" w:eastAsia="Arial" w:hAnsi="Arial"/>
                <w:sz w:val="18"/>
                <w:szCs w:val="18"/>
                <w:color w:val="auto"/>
              </w:rPr>
              <w:t>(24,954)</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(27,647)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Note 8. Intangible Assets and Goodwill</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Intangible assets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Intangible assets, net are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9"/>
          </w:tcPr>
          <w:p>
            <w:pPr>
              <w:jc w:val="right"/>
              <w:ind w:right="20"/>
              <w:spacing w:after="0"/>
              <w:rPr>
                <w:sz w:val="20"/>
                <w:szCs w:val="20"/>
                <w:color w:val="auto"/>
              </w:rPr>
            </w:pPr>
            <w:r>
              <w:rPr>
                <w:rFonts w:ascii="Arial" w:cs="Arial" w:eastAsia="Arial" w:hAnsi="Arial"/>
                <w:sz w:val="14"/>
                <w:szCs w:val="14"/>
                <w:color w:val="auto"/>
              </w:rPr>
              <w:t>As of January 31, 2020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3"/>
            <w:vMerge w:val="restart"/>
          </w:tcPr>
          <w:p>
            <w:pPr>
              <w:jc w:val="center"/>
              <w:ind w:right="60"/>
              <w:spacing w:after="0" w:line="130"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83"/>
        </w:trPr>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5"/>
              </w:rPr>
              <w:t>Remaining</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Gross</w:t>
            </w:r>
          </w:p>
        </w:tc>
        <w:tc>
          <w:tcPr>
            <w:tcW w:w="400" w:type="dxa"/>
            <w:vAlign w:val="bottom"/>
          </w:tcPr>
          <w:p>
            <w:pPr>
              <w:spacing w:after="0"/>
              <w:rPr>
                <w:sz w:val="12"/>
                <w:szCs w:val="12"/>
                <w:color w:val="auto"/>
              </w:rPr>
            </w:pPr>
          </w:p>
        </w:tc>
        <w:tc>
          <w:tcPr>
            <w:tcW w:w="1100" w:type="dxa"/>
            <w:vAlign w:val="bottom"/>
            <w:gridSpan w:val="8"/>
          </w:tcPr>
          <w:p>
            <w:pPr>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40" w:type="dxa"/>
            <w:vAlign w:val="bottom"/>
            <w:gridSpan w:val="5"/>
          </w:tcPr>
          <w:p>
            <w:pPr>
              <w:jc w:val="center"/>
              <w:ind w:right="260"/>
              <w:spacing w:after="0" w:line="149" w:lineRule="exact"/>
              <w:rPr>
                <w:sz w:val="20"/>
                <w:szCs w:val="20"/>
                <w:color w:val="auto"/>
              </w:rPr>
            </w:pPr>
            <w:r>
              <w:rPr>
                <w:rFonts w:ascii="Arial" w:cs="Arial" w:eastAsia="Arial" w:hAnsi="Arial"/>
                <w:sz w:val="14"/>
                <w:szCs w:val="14"/>
                <w:color w:val="auto"/>
                <w:w w:val="94"/>
              </w:rPr>
              <w:t>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9"/>
              </w:rPr>
              <w:t>Useful Life</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4"/>
                <w:szCs w:val="14"/>
                <w:color w:val="auto"/>
              </w:rPr>
            </w:pPr>
          </w:p>
        </w:tc>
        <w:tc>
          <w:tcPr>
            <w:tcW w:w="1100" w:type="dxa"/>
            <w:vAlign w:val="bottom"/>
            <w:gridSpan w:val="8"/>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840" w:type="dxa"/>
            <w:vAlign w:val="bottom"/>
            <w:gridSpan w:val="5"/>
          </w:tcPr>
          <w:p>
            <w:pPr>
              <w:jc w:val="center"/>
              <w:ind w:right="26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color w:val="auto"/>
                <w:w w:val="91"/>
              </w:rPr>
              <w:t>(Years)</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$ 5,313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21,706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5"/>
          </w:tcPr>
          <w:p>
            <w:pPr>
              <w:jc w:val="right"/>
              <w:ind w:right="61"/>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6"/>
          </w:tcPr>
          <w:p>
            <w:pPr>
              <w:jc w:val="right"/>
              <w:ind w:right="260"/>
              <w:spacing w:after="0"/>
              <w:rPr>
                <w:sz w:val="20"/>
                <w:szCs w:val="20"/>
                <w:color w:val="auto"/>
              </w:rPr>
            </w:pPr>
            <w:r>
              <w:rPr>
                <w:rFonts w:ascii="Arial" w:cs="Arial" w:eastAsia="Arial" w:hAnsi="Arial"/>
                <w:sz w:val="18"/>
                <w:szCs w:val="18"/>
                <w:color w:val="auto"/>
              </w:rPr>
              <w:t>20,769</w:t>
            </w:r>
          </w:p>
        </w:tc>
        <w:tc>
          <w:tcPr>
            <w:tcW w:w="1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61"/>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27,839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(1,746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26,093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840" w:type="dxa"/>
            <w:vAlign w:val="bottom"/>
            <w:gridSpan w:val="3"/>
            <w:vMerge w:val="restart"/>
          </w:tcPr>
          <w:p>
            <w:pPr>
              <w:ind w:left="440"/>
              <w:spacing w:after="0"/>
              <w:rPr>
                <w:sz w:val="20"/>
                <w:szCs w:val="20"/>
                <w:color w:val="auto"/>
              </w:rPr>
            </w:pPr>
            <w:r>
              <w:rPr>
                <w:rFonts w:ascii="Arial" w:cs="Arial" w:eastAsia="Arial" w:hAnsi="Arial"/>
                <w:sz w:val="18"/>
                <w:szCs w:val="18"/>
                <w:color w:val="auto"/>
              </w:rPr>
              <w:t>There were no intangible assets as of January 31, 2019.</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tcPr>
          <w:p>
            <w:pPr>
              <w:spacing w:after="0"/>
              <w:rPr>
                <w:sz w:val="24"/>
                <w:szCs w:val="24"/>
                <w:color w:val="auto"/>
              </w:rPr>
            </w:pPr>
          </w:p>
        </w:tc>
        <w:tc>
          <w:tcPr>
            <w:tcW w:w="58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The Company recognized amortization expense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6"/>
          </w:tcPr>
          <w:p>
            <w:pPr>
              <w:jc w:val="center"/>
              <w:spacing w:after="0"/>
              <w:rPr>
                <w:sz w:val="20"/>
                <w:szCs w:val="20"/>
                <w:color w:val="auto"/>
              </w:rPr>
            </w:pPr>
            <w:r>
              <w:rPr>
                <w:rFonts w:ascii="Arial" w:cs="Arial" w:eastAsia="Arial" w:hAnsi="Arial"/>
                <w:sz w:val="14"/>
                <w:szCs w:val="14"/>
                <w:color w:val="auto"/>
                <w:w w:val="90"/>
              </w:rPr>
              <w:t>Fiscal Year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2"/>
              </w:rPr>
              <w:t>January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3"/>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2018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3"/>
              <w:spacing w:after="0" w:line="142" w:lineRule="exact"/>
              <w:rPr>
                <w:sz w:val="20"/>
                <w:szCs w:val="20"/>
                <w:color w:val="auto"/>
              </w:rPr>
            </w:pPr>
            <w:r>
              <w:rPr>
                <w:rFonts w:ascii="Arial" w:cs="Arial" w:eastAsia="Arial" w:hAnsi="Arial"/>
                <w:sz w:val="14"/>
                <w:szCs w:val="14"/>
                <w:color w:val="auto"/>
                <w:w w:val="83"/>
              </w:rPr>
              <w:t>2020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85"/>
              </w:rPr>
              <w:t>$—</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Total amortization expense</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85"/>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85"/>
              </w:rPr>
              <w:t>$—</w:t>
            </w:r>
          </w:p>
        </w:tc>
        <w:tc>
          <w:tcPr>
            <w:tcW w:w="4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1,748</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expected future amortization expense for intangible assets as of January 31, 2020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January 31,</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68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3,182</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3,172</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2,478</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2025</w:t>
            </w:r>
          </w:p>
        </w:tc>
        <w:tc>
          <w:tcPr>
            <w:tcW w:w="6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1,670</w:t>
            </w: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12,419</w:t>
            </w: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26,093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80" w:type="dxa"/>
            <w:vAlign w:val="bottom"/>
            <w:gridSpan w:val="2"/>
          </w:tcPr>
          <w:p>
            <w:pPr>
              <w:jc w:val="right"/>
              <w:ind w:right="2907"/>
              <w:spacing w:after="0"/>
              <w:rPr>
                <w:sz w:val="20"/>
                <w:szCs w:val="20"/>
                <w:color w:val="auto"/>
              </w:rPr>
            </w:pPr>
            <w:r>
              <w:rPr>
                <w:rFonts w:ascii="Arial" w:cs="Arial" w:eastAsia="Arial" w:hAnsi="Arial"/>
                <w:sz w:val="18"/>
                <w:szCs w:val="18"/>
                <w:color w:val="auto"/>
              </w:rPr>
              <w:t>F-30</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Intangible Assets and Goodwill (Continued)</w:t>
      </w:r>
    </w:p>
    <w:p>
      <w:pPr>
        <w:spacing w:after="0" w:line="13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assets acquired. Goodwill amounts are not amortized, but rather tested for impairment at least annually during the Company’s fourth quarter of each fiscal year. The change in the carrying amounts of goodwill was as follows:</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Balance as of January 31, 2019</w:t>
            </w:r>
          </w:p>
        </w:tc>
        <w:tc>
          <w:tcPr>
            <w:tcW w:w="2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55,989</w:t>
            </w:r>
          </w:p>
        </w:tc>
      </w:tr>
      <w:tr>
        <w:trPr>
          <w:trHeight w:val="223"/>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Translation adjustments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2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55,840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Reseller Agreement</w:t>
      </w:r>
    </w:p>
    <w:p>
      <w:pPr>
        <w:spacing w:after="0" w:line="121" w:lineRule="exact"/>
        <w:rPr>
          <w:sz w:val="20"/>
          <w:szCs w:val="20"/>
          <w:color w:val="auto"/>
        </w:rPr>
      </w:pPr>
    </w:p>
    <w:p>
      <w:pPr>
        <w:ind w:left="120" w:right="240" w:firstLine="881"/>
        <w:spacing w:after="0" w:line="296" w:lineRule="auto"/>
        <w:rPr>
          <w:sz w:val="20"/>
          <w:szCs w:val="20"/>
          <w:color w:val="auto"/>
        </w:rPr>
      </w:pPr>
      <w:r>
        <w:rPr>
          <w:rFonts w:ascii="Arial" w:cs="Arial" w:eastAsia="Arial" w:hAnsi="Arial"/>
          <w:sz w:val="16"/>
          <w:szCs w:val="16"/>
          <w:color w:val="auto"/>
        </w:rPr>
        <w:t>The Company has a reseller agreement in place with a related party to utilize their platform and to develop the Company’s cloud-based banking software as an application within the related party’s hosted environment. This agreement expires in June 2022 unless renegotiated. Cost of subscription revenues in each of the fiscal years ended January 31, 2018, 2019 and 2020 substantially consists of fees paid for access to the related party’s platform, including their hosting infrastructure and data center operations. The Company has recorded expenses of $9.5 million, $15.4 million and $22.8 million for the fiscal years ended January 31, 2018, 2019, and 2020, respectively. See also Note 15.</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On September 16, 2019, the Company amended the Certificate of Incorporation to change the designated number of voting shares of authorized common stock to 99,708,247 and the designated number of non-voting shares of authorized common stock to 10,291,753. On May 25, 2016, the Company amended the Certificate of Incorporation to change the designated number of voting shares of authorized common stock to 89,708,247 and the designated number of non-voting shares of authorized common stock to 10,291,753. During the fiscal years ended January 31, 2018 and 2019, no change was made to the total number of authorized common shares.</w:t>
      </w:r>
    </w:p>
    <w:p>
      <w:pPr>
        <w:spacing w:after="0" w:line="188"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In July 2017, January 2018, and September 2019 the Company completed a private placement common stock offering with accredited investors which raised $17.8 million, $51.4 million and $79.9 million, respectively, net of related expenses. During the July 2017 offering, 1,784,700 shares of voting common stock were issued, in January 2018, 3,958,354 shares of voting common stock were issued, and in September 2019, 3,678,161 shares of common stock were issued (3,448,276 shares of voting common stock and 229,885 shares of non-voting common stock).</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13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Also, during the fiscal years ended January 31, 2018, 2019 and 2020, certain employees exercised vested stock options resulting in 695,384, 2,845,482 and 458,770 shares, respectively, being issued.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During the fiscal year ended January 31, 2020, 1,502,772 shares of voting common stock were issued related to business combinations.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the rights and key provisions affecting each class of the Company’s stock as of January 31, 2020, is as follows:</w:t>
      </w:r>
    </w:p>
    <w:p>
      <w:pPr>
        <w:spacing w:after="0" w:line="221" w:lineRule="exact"/>
        <w:rPr>
          <w:sz w:val="20"/>
          <w:szCs w:val="20"/>
          <w:color w:val="auto"/>
        </w:rPr>
      </w:pPr>
    </w:p>
    <w:p>
      <w:pPr>
        <w:jc w:val="both"/>
        <w:ind w:left="120" w:right="320" w:firstLine="881"/>
        <w:spacing w:after="0" w:line="266"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The Board of Directors is authorized to establish one or more series of preferred stock and to fix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constituting such series and the designation of such series, including the voting powers, preferences, limitations, restrictions, and other special rights thereof.</w:t>
      </w:r>
    </w:p>
    <w:p>
      <w:pPr>
        <w:spacing w:after="0" w:line="176"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b w:val="1"/>
          <w:bCs w:val="1"/>
          <w:color w:val="auto"/>
        </w:rPr>
        <w:t xml:space="preserve">Common stock: </w:t>
      </w:r>
      <w:r>
        <w:rPr>
          <w:rFonts w:ascii="Arial" w:cs="Arial" w:eastAsia="Arial" w:hAnsi="Arial"/>
          <w:sz w:val="17"/>
          <w:szCs w:val="17"/>
          <w:color w:val="auto"/>
        </w:rPr>
        <w:t>Each holder of shares of voting common stock is entitled to attend all special and annual stockholder meetings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to cast one vote for each outstanding share of voting common stock held on any matter or thing properly considered and acted upon by the stockholders in accordance with the Company’s by-laws and applicable law. Non-voting common stockholders carry the same rights and privileges as voting common stockholders except they shall not be entitled to vote on any matter. Non-voting common stock can be converted to an equal number of shares of voting common stock provided that certain transfer provisions are met. The non-voting common stock will only be convertible after a transfer from the initial holder of the non-voting common stock to a third party unaffiliated with the initial holder through a permitted transfer. A permitted transfer is defined as being a transfer to an affiliate of the holder or the Company, transfer in a widespread public distribution, in transfers in which no transferee (or group of affiliated transferees) receives 2% or more of any class of the voting securities of the Company, or to a transferee that would control more than 50% of the voting securities of the Company without any transfer from the transferor.</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January 31, 2020, the Company committed a total of 9,579,061 shares of common stock for future issuance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stock options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7,837,023</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Nonvested issued and outstanding restricted stock units (“RSU”s)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948,119</w:t>
            </w:r>
          </w:p>
        </w:tc>
        <w:tc>
          <w:tcPr>
            <w:tcW w:w="6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Possible issuance under incentive plans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793,919</w:t>
            </w:r>
          </w:p>
        </w:tc>
        <w:tc>
          <w:tcPr>
            <w:tcW w:w="60" w:type="dxa"/>
            <w:vAlign w:val="bottom"/>
            <w:shd w:val="clear" w:color="auto" w:fill="CCEEFF"/>
          </w:tcPr>
          <w:p>
            <w:pPr>
              <w:spacing w:after="0"/>
              <w:rPr>
                <w:sz w:val="18"/>
                <w:szCs w:val="18"/>
                <w:color w:val="auto"/>
              </w:rPr>
            </w:pPr>
          </w:p>
        </w:tc>
      </w:tr>
      <w:tr>
        <w:trPr>
          <w:trHeight w:val="223"/>
        </w:trPr>
        <w:tc>
          <w:tcPr>
            <w:tcW w:w="64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9,579,061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w:t>
      </w:r>
    </w:p>
    <w:p>
      <w:pPr>
        <w:spacing w:after="0" w:line="121" w:lineRule="exact"/>
        <w:rPr>
          <w:sz w:val="20"/>
          <w:szCs w:val="20"/>
          <w:color w:val="auto"/>
        </w:rPr>
      </w:pPr>
    </w:p>
    <w:p>
      <w:pPr>
        <w:jc w:val="both"/>
        <w:ind w:left="120" w:right="480" w:firstLine="881"/>
        <w:spacing w:after="0" w:line="275" w:lineRule="auto"/>
        <w:rPr>
          <w:sz w:val="20"/>
          <w:szCs w:val="20"/>
          <w:color w:val="auto"/>
        </w:rPr>
      </w:pPr>
      <w:r>
        <w:rPr>
          <w:rFonts w:ascii="Arial" w:cs="Arial" w:eastAsia="Arial" w:hAnsi="Arial"/>
          <w:sz w:val="17"/>
          <w:szCs w:val="17"/>
          <w:color w:val="auto"/>
        </w:rPr>
        <w:t>The Company has two equity incentive plans: the 2014 Stock Plan (“2014 Plan”) and the 2019 Equity Incentive Plan (“2019 Plan”), collectively referred to as the “Incentive Plans.” Under the 2014 Plan, the Board of Directors had allotted 15,025,666 shares of common stock for incentive options or non-qualified options as of January 31, 2020. Prior to fiscal 2018, the option pool was increased by an aggregate of 6,797,476 shares with approval from the Board of directors and stockholders. Non-qualified options may be granted to Company employees, non-employee directors, and consultants. The exercise price of options is determined by the Board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Directors, but cannot be less than 100% of the fair market value of the Company’s common stock on the date of the grant. The options generally vest in one of two ways:</w:t>
      </w:r>
    </w:p>
    <w:p>
      <w:pPr>
        <w:spacing w:after="0" w:line="76" w:lineRule="exact"/>
        <w:rPr>
          <w:sz w:val="20"/>
          <w:szCs w:val="20"/>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equal annual installments over four years from the grant date.</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a change in control transaction (with respect to certain Incentive Plan participants).</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All options expire ten years from the grant date and, with respect to certain Incentive Plan participants, provide for accelerated vesting if there is a change in control of the Company.</w:t>
      </w:r>
    </w:p>
    <w:p>
      <w:pPr>
        <w:spacing w:after="0" w:line="170"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In July 2019, the Company established the 2019 Plan. The 2019 Plan is allotted 1,500,000 shares that may be issued in the form of options, stock appreciation rights, restricted stock awards, restricted stock units, performance shares, performance units, cash-based awards and other stock-based awards. The allotted shares can be increased by shares available under the Company’s 2014 Plan, described above, however, not to exceed 7,500,000 shares from that 2014 Plan. The maximum number of incentive stock options cannot exceed 9,000,000 shares. All awards shall be granted within ten years from the effective date of the Plan and can only be granted to employees, non-employee directors and consultants and generally vest over four years.</w:t>
      </w:r>
    </w:p>
    <w:p>
      <w:pPr>
        <w:spacing w:after="0" w:line="192"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Restricted stock units (“RSU”) are subject to time-based and performance-based vesting conditions. RSUs are generally earned over a service period of four years, expire seven years from the grant date and will only vest upon an IPO or change in control. The compensation expense related to these awards is based on the grant date fair value of the RSUs and is recognized on a ratable basis over the applicable service period. No RSUs have vested as of January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calculated value of each option award is estimated at the date of grant using the Black-Scholes option valuation model that utilizes the assumptions included in the table below. The Company recognizes stock-based expenses related to stock option awards on a straight-line basis over the requisite service period of the awards, which is generally the vesting term of four years. Stock-based expenses are recognized net of estimated forfeiture activity. The estimated forfeiture rate applied is based on historical forfeiture rates. The expected term assumption, using the simplified method, reflects the period for which the Company believes the option will remain outstanding. The Company determined the volatility of its stock by looking at the historic volatility of its peer companies. The risk-free rate reflects the U.S. Treasury yield for a similar expected life instrument in effect at the time of the grant. The assumptions utilized for the fiscal years ended January 31, 2018, 2019, and 2020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42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2019</w:t>
            </w:r>
          </w:p>
        </w:tc>
        <w:tc>
          <w:tcPr>
            <w:tcW w:w="2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 from vesting)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- 6.25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6.10 -6.25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820" w:type="dxa"/>
            <w:vAlign w:val="bottom"/>
          </w:tcPr>
          <w:p>
            <w:pPr>
              <w:ind w:left="40"/>
              <w:spacing w:after="0"/>
              <w:rPr>
                <w:sz w:val="20"/>
                <w:szCs w:val="20"/>
                <w:color w:val="auto"/>
              </w:rPr>
            </w:pPr>
            <w:r>
              <w:rPr>
                <w:rFonts w:ascii="Arial" w:cs="Arial" w:eastAsia="Arial" w:hAnsi="Arial"/>
                <w:sz w:val="18"/>
                <w:szCs w:val="18"/>
                <w:color w:val="auto"/>
              </w:rPr>
              <w:t>- 44%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800" w:type="dxa"/>
            <w:vAlign w:val="bottom"/>
          </w:tcPr>
          <w:p>
            <w:pPr>
              <w:ind w:left="20"/>
              <w:spacing w:after="0"/>
              <w:rPr>
                <w:sz w:val="20"/>
                <w:szCs w:val="20"/>
                <w:color w:val="auto"/>
              </w:rPr>
            </w:pPr>
            <w:r>
              <w:rPr>
                <w:rFonts w:ascii="Arial" w:cs="Arial" w:eastAsia="Arial" w:hAnsi="Arial"/>
                <w:sz w:val="18"/>
                <w:szCs w:val="18"/>
                <w:color w:val="auto"/>
              </w:rPr>
              <w:t>- 41%</w:t>
            </w:r>
          </w:p>
        </w:tc>
        <w:tc>
          <w:tcPr>
            <w:tcW w:w="2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5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Risk-free rate</w:t>
            </w: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820" w:type="dxa"/>
            <w:vAlign w:val="bottom"/>
          </w:tcPr>
          <w:p>
            <w:pPr>
              <w:ind w:left="40"/>
              <w:spacing w:after="0"/>
              <w:rPr>
                <w:sz w:val="20"/>
                <w:szCs w:val="20"/>
                <w:color w:val="auto"/>
              </w:rPr>
            </w:pPr>
            <w:r>
              <w:rPr>
                <w:rFonts w:ascii="Arial" w:cs="Arial" w:eastAsia="Arial" w:hAnsi="Arial"/>
                <w:sz w:val="18"/>
                <w:szCs w:val="18"/>
                <w:color w:val="auto"/>
              </w:rPr>
              <w:t>- 2.27%</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800" w:type="dxa"/>
            <w:vAlign w:val="bottom"/>
          </w:tcPr>
          <w:p>
            <w:pPr>
              <w:ind w:left="20"/>
              <w:spacing w:after="0"/>
              <w:rPr>
                <w:sz w:val="20"/>
                <w:szCs w:val="20"/>
                <w:color w:val="auto"/>
              </w:rPr>
            </w:pPr>
            <w:r>
              <w:rPr>
                <w:rFonts w:ascii="Arial" w:cs="Arial" w:eastAsia="Arial" w:hAnsi="Arial"/>
                <w:sz w:val="18"/>
                <w:szCs w:val="18"/>
                <w:color w:val="auto"/>
              </w:rPr>
              <w:t>- 3.06%</w:t>
            </w:r>
          </w:p>
        </w:tc>
        <w:tc>
          <w:tcPr>
            <w:tcW w:w="2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1.63% - 2.59%</w:t>
            </w:r>
          </w:p>
        </w:tc>
      </w:tr>
    </w:tbl>
    <w:p>
      <w:pPr>
        <w:spacing w:after="0" w:line="187"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grant date weighted average calculated fair value of options issued, net of forfeitures, was $2.13, $5.36, and $6.74 per share for the fiscal years ended January 31, 2018, 2019 and 2020,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recognized stock-based compensation expense related to the option grants under the Incentive Plans as follows:</w:t>
      </w:r>
    </w:p>
    <w:p>
      <w:pPr>
        <w:spacing w:after="0" w:line="255"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Fiscal Year Ended</w:t>
      </w:r>
    </w:p>
    <w:p>
      <w:pPr>
        <w:jc w:val="center"/>
        <w:ind w:left="884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8900" w:type="dxa"/>
            <w:vAlign w:val="bottom"/>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09"/>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$1,487</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940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1,078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1,260</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474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1,723</w:t>
            </w:r>
          </w:p>
        </w:tc>
      </w:tr>
      <w:tr>
        <w:trPr>
          <w:trHeight w:val="27"/>
        </w:trPr>
        <w:tc>
          <w:tcPr>
            <w:tcW w:w="8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3,826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5,745</w:t>
            </w:r>
          </w:p>
        </w:tc>
      </w:tr>
      <w:tr>
        <w:trPr>
          <w:trHeight w:val="20"/>
        </w:trPr>
        <w:tc>
          <w:tcPr>
            <w:tcW w:w="8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00" w:hanging="424"/>
        <w:spacing w:after="0" w:line="311" w:lineRule="auto"/>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On June 26, 2019, the Company entered into a separation agreement with an executive. The agreement resulted in a modification of the former employee’s 334,840 outstanding stock options to purchase voting common stock, which accelerated certain vesting and extended the exercise period, resulting in the recognition of $1.2 million of additional stock-based compensation expense for the year ended January 31, 2020.</w:t>
      </w:r>
    </w:p>
    <w:p>
      <w:pPr>
        <w:spacing w:after="0" w:line="14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The Company granted 353,900 incentive stock options in the fiscal year ended January 31, 2020, which vest over four years and have a ten-year term.</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 summary of option activity under the Incentive Plans during the fiscal years ended January 31, 2018, 2019 and 2020 are as follows: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Weighted</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Average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Contractual</w:t>
            </w:r>
          </w:p>
        </w:tc>
        <w:tc>
          <w:tcPr>
            <w:tcW w:w="220" w:type="dxa"/>
            <w:vAlign w:val="bottom"/>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Value (In</w:t>
            </w:r>
          </w:p>
        </w:tc>
        <w:tc>
          <w:tcPr>
            <w:tcW w:w="0" w:type="dxa"/>
            <w:vAlign w:val="bottom"/>
          </w:tcPr>
          <w:p>
            <w:pPr>
              <w:spacing w:after="0"/>
              <w:rPr>
                <w:sz w:val="1"/>
                <w:szCs w:val="1"/>
                <w:color w:val="auto"/>
              </w:rPr>
            </w:pPr>
          </w:p>
        </w:tc>
      </w:tr>
      <w:tr>
        <w:trPr>
          <w:trHeight w:val="167"/>
        </w:trPr>
        <w:tc>
          <w:tcPr>
            <w:tcW w:w="4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Exercise Price</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w w:val="87"/>
              </w:rPr>
              <w:t>Term (Years)</w:t>
            </w:r>
          </w:p>
        </w:tc>
        <w:tc>
          <w:tcPr>
            <w:tcW w:w="22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color w:val="auto"/>
                <w:w w:val="89"/>
              </w:rPr>
              <w:t>thousands)</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31, 2017</w:t>
            </w:r>
          </w:p>
        </w:tc>
        <w:tc>
          <w:tcPr>
            <w:tcW w:w="19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6,845,834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Granted</w:t>
            </w:r>
          </w:p>
        </w:tc>
        <w:tc>
          <w:tcPr>
            <w:tcW w:w="3080" w:type="dxa"/>
            <w:vAlign w:val="bottom"/>
            <w:gridSpan w:val="3"/>
          </w:tcPr>
          <w:p>
            <w:pPr>
              <w:jc w:val="right"/>
              <w:ind w:right="300"/>
              <w:spacing w:after="0"/>
              <w:rPr>
                <w:sz w:val="20"/>
                <w:szCs w:val="20"/>
                <w:color w:val="auto"/>
              </w:rPr>
            </w:pPr>
            <w:r>
              <w:rPr>
                <w:rFonts w:ascii="Arial" w:cs="Arial" w:eastAsia="Arial" w:hAnsi="Arial"/>
                <w:sz w:val="18"/>
                <w:szCs w:val="18"/>
                <w:color w:val="auto"/>
              </w:rPr>
              <w:t>4,267,151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5.17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(125,642)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(695,384)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1.35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2018</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10,291,959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969,762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4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(209,313)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9.46</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(2,845,482)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32,365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2019</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8,206,926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ind w:left="360"/>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353,900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17.54</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(265,033)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(458,770)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2020</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7,837,023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126,245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Exercisable, January 31, 2020</w:t>
            </w: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4,832,586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4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Fully vested or expected to vest, January 31, 2020</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7,053,321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113,620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3080" w:type="dxa"/>
            <w:vAlign w:val="bottom"/>
            <w:gridSpan w:val="3"/>
          </w:tcPr>
          <w:p>
            <w:pPr>
              <w:jc w:val="right"/>
              <w:ind w:right="1860"/>
              <w:spacing w:after="0"/>
              <w:rPr>
                <w:sz w:val="20"/>
                <w:szCs w:val="20"/>
                <w:color w:val="auto"/>
              </w:rPr>
            </w:pPr>
            <w:r>
              <w:rPr>
                <w:rFonts w:ascii="Arial" w:cs="Arial" w:eastAsia="Arial" w:hAnsi="Arial"/>
                <w:sz w:val="18"/>
                <w:szCs w:val="18"/>
                <w:color w:val="auto"/>
              </w:rPr>
              <w:t>F-34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Aggregate intrinsic value represents the total pre-tax intrinsic value, which is computed based on the difference between the option exercise price and the estimated fair value of the Company’s common stock at the time such option exercises. This intrinsic value changes based on changes in the fair value of the Company’s underlying stock.</w:t>
      </w:r>
    </w:p>
    <w:p>
      <w:pPr>
        <w:spacing w:after="0" w:line="184"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As of January 31, 2020, there was $7.6 million of total unrecognized compensation cost related to unvested stock-based compensation arrangements under the Incentive Plans. That cost is expected to be recognized over a weighted average period of approximately 1.65 years.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granted 948,119 RSUs during the fiscal year ended January 31, 2020 with a weighted-average grant date fair value of $21.75 per RSU. No RSUs vested, were forfeited or cancelled. As of January 31, 2020, total unrecognized compensation expense cost related to non-vested RSUs was $19.6 million, adjusted for estimated forfeitures, based on the estimated fair value of the Company’s common stock at the time of grant. The weighted-average period to be recognized is indeterminable until an IPO or a change in control occurs. At January 31, 2020, the intrinsic value of unvested restricted stock units was $0.0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components of loss before income tax expense by domestic and foreign jurisdictions were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40" w:type="dxa"/>
            <w:vAlign w:val="bottom"/>
            <w:gridSpan w:val="8"/>
          </w:tcPr>
          <w:p>
            <w:pPr>
              <w:jc w:val="right"/>
              <w:ind w:right="720"/>
              <w:spacing w:after="0"/>
              <w:rPr>
                <w:sz w:val="20"/>
                <w:szCs w:val="20"/>
                <w:color w:val="auto"/>
              </w:rPr>
            </w:pPr>
            <w:r>
              <w:rPr>
                <w:rFonts w:ascii="Arial" w:cs="Arial" w:eastAsia="Arial" w:hAnsi="Arial"/>
                <w:sz w:val="14"/>
                <w:szCs w:val="14"/>
                <w:color w:val="auto"/>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2018</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$(18,757)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$(20,547)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w:t>
            </w:r>
          </w:p>
        </w:tc>
        <w:tc>
          <w:tcPr>
            <w:tcW w:w="2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(4,779)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(18,539)</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(22,112)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247" w:lineRule="exact"/>
        <w:rPr>
          <w:sz w:val="20"/>
          <w:szCs w:val="20"/>
          <w:color w:val="auto"/>
        </w:rPr>
      </w:pPr>
    </w:p>
    <w:p>
      <w:pPr>
        <w:jc w:val="center"/>
        <w:ind w:left="7200"/>
        <w:spacing w:after="0"/>
        <w:rPr>
          <w:sz w:val="20"/>
          <w:szCs w:val="20"/>
          <w:color w:val="auto"/>
        </w:rPr>
      </w:pPr>
      <w:r>
        <w:rPr>
          <w:rFonts w:ascii="Arial" w:cs="Arial" w:eastAsia="Arial" w:hAnsi="Arial"/>
          <w:sz w:val="14"/>
          <w:szCs w:val="14"/>
          <w:color w:val="auto"/>
        </w:rPr>
        <w:t>Fiscal Year Ended</w:t>
      </w:r>
    </w:p>
    <w:p>
      <w:pPr>
        <w:jc w:val="center"/>
        <w:ind w:left="720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2018</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2019</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Federal</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Foreign</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194</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194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Deferred:</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State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Deferred tax expense</w:t>
            </w:r>
          </w:p>
        </w:tc>
        <w:tc>
          <w:tcPr>
            <w:tcW w:w="4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360" w:type="dxa"/>
            <w:vAlign w:val="bottom"/>
            <w:gridSpan w:val="2"/>
          </w:tcPr>
          <w:p>
            <w:pPr>
              <w:jc w:val="right"/>
              <w:ind w:right="2479"/>
              <w:spacing w:after="0"/>
              <w:rPr>
                <w:sz w:val="20"/>
                <w:szCs w:val="20"/>
                <w:color w:val="auto"/>
              </w:rPr>
            </w:pPr>
            <w:r>
              <w:rPr>
                <w:rFonts w:ascii="Arial" w:cs="Arial" w:eastAsia="Arial" w:hAnsi="Arial"/>
                <w:sz w:val="18"/>
                <w:szCs w:val="18"/>
                <w:color w:val="auto"/>
              </w:rPr>
              <w:t>F-35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The differences between income taxes expected at the US federal statutory income tax rate and the reported income tax expense are summarized as follows: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color w:val="auto"/>
                <w:w w:val="91"/>
              </w:rPr>
              <w:t>Fiscal Year Ended January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Income tax benefit at statutory rate of 21% for 2019 and 2020 (2018: 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shd w:val="clear" w:color="auto" w:fill="CCEEFF"/>
              </w:rPr>
              <w:t>(6,268)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33.8%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shd w:val="clear" w:color="auto" w:fill="CCEEFF"/>
              </w:rPr>
              <w:t>(4,644)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shd w:val="clear" w:color="auto" w:fill="CCEEFF"/>
              </w:rPr>
              <w:t>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shd w:val="clear" w:color="auto" w:fill="CCEEFF"/>
              </w:rPr>
              <w:t>(5,701)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21.0%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State income tax benefit, net of federal impact</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(780)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(1,331)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(3,284)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11,627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Impacts of adoption of the new revenue standard</w:t>
            </w:r>
          </w:p>
        </w:tc>
        <w:tc>
          <w:tcPr>
            <w:tcW w:w="10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2,389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(32)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(5,753)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Remeasurement of deferred taxes due to Tax Cuts and Jobs Act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9,958</w:t>
            </w: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0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vMerge w:val="continue"/>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586</w:t>
            </w:r>
          </w:p>
        </w:tc>
        <w:tc>
          <w:tcPr>
            <w:tcW w:w="32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Significant components of the Company’s net deferred tax assets and liabilities were as follows:</w:t>
      </w:r>
    </w:p>
    <w:p>
      <w:pPr>
        <w:spacing w:after="0" w:line="247" w:lineRule="exact"/>
        <w:rPr>
          <w:sz w:val="20"/>
          <w:szCs w:val="20"/>
          <w:color w:val="auto"/>
        </w:rPr>
      </w:pPr>
    </w:p>
    <w:p>
      <w:pPr>
        <w:jc w:val="center"/>
        <w:ind w:left="6220"/>
        <w:spacing w:after="0"/>
        <w:rPr>
          <w:sz w:val="20"/>
          <w:szCs w:val="20"/>
          <w:color w:val="auto"/>
        </w:rPr>
      </w:pPr>
      <w:r>
        <w:rPr>
          <w:rFonts w:ascii="Arial" w:cs="Arial" w:eastAsia="Arial" w:hAnsi="Arial"/>
          <w:sz w:val="14"/>
          <w:szCs w:val="14"/>
          <w:color w:val="auto"/>
        </w:rPr>
        <w:t>As of</w:t>
      </w:r>
    </w:p>
    <w:p>
      <w:pPr>
        <w:jc w:val="center"/>
        <w:ind w:left="6220"/>
        <w:spacing w:after="0" w:line="231" w:lineRule="auto"/>
        <w:rPr>
          <w:sz w:val="20"/>
          <w:szCs w:val="20"/>
          <w:color w:val="auto"/>
        </w:rPr>
      </w:pPr>
      <w:r>
        <w:rPr>
          <w:rFonts w:ascii="Arial" w:cs="Arial" w:eastAsia="Arial" w:hAnsi="Arial"/>
          <w:sz w:val="14"/>
          <w:szCs w:val="14"/>
          <w:color w:val="auto"/>
        </w:rPr>
        <w:t>January 31,</w:t>
      </w:r>
    </w:p>
    <w:tbl>
      <w:tblPr>
        <w:tblLayout w:type="fixed"/>
        <w:tblInd w:w="1440" w:type="dxa"/>
        <w:tblCellMar>
          <w:top w:w="0" w:type="dxa"/>
          <w:left w:w="0" w:type="dxa"/>
          <w:bottom w:w="0" w:type="dxa"/>
          <w:right w:w="0" w:type="dxa"/>
        </w:tblCellMar>
      </w:tblPr>
      <w:tr>
        <w:trPr>
          <w:trHeight w:val="142"/>
        </w:trPr>
        <w:tc>
          <w:tcPr>
            <w:tcW w:w="39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31,765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35,608</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compensation</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Reserves and accrueds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33,187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39,661</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(33,121)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(36,425)</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w w:val="91"/>
              </w:rPr>
              <w:t>Total deferred tax assets, net of valuation allowances</w:t>
            </w: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Contract acquisition costs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(2,568)</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Remaining perforamance obligations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Intangibles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(3,430)</w:t>
            </w:r>
          </w:p>
        </w:tc>
        <w:tc>
          <w:tcPr>
            <w:tcW w:w="10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0"/>
        </w:trPr>
        <w:tc>
          <w:tcPr>
            <w:tcW w:w="3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2540" w:type="dxa"/>
            <w:vAlign w:val="bottom"/>
            <w:gridSpan w:val="2"/>
          </w:tcPr>
          <w:p>
            <w:pPr>
              <w:jc w:val="right"/>
              <w:ind w:right="1990"/>
              <w:spacing w:after="0"/>
              <w:rPr>
                <w:sz w:val="20"/>
                <w:szCs w:val="20"/>
                <w:color w:val="auto"/>
              </w:rPr>
            </w:pPr>
            <w:r>
              <w:rPr>
                <w:rFonts w:ascii="Arial" w:cs="Arial" w:eastAsia="Arial" w:hAnsi="Arial"/>
                <w:sz w:val="18"/>
                <w:szCs w:val="18"/>
                <w:color w:val="auto"/>
              </w:rPr>
              <w:t>F-36</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A valuation allowance has been provided in the U.S. federal and state as well as certain foreign jurisdictions to reduce deferred tax assets to the amount that is more likely than not to be realized. The valuation allowance increased/(decreased) by ($3.3 million), $11.6 million and $3.3 million for the fiscal years ended January 31, 2018, 2019 and 2020, respectively.</w:t>
      </w:r>
    </w:p>
    <w:p>
      <w:pPr>
        <w:spacing w:after="0" w:line="18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Company continually assesses the realizability of its deferred tax assets based on an evaluative process that considers all available positive and negative evidence. The Company has established a valuation allowance in the amount of $33.1 million and $36.4 million as of January 31, 2019 and 2020, respectively, because the Company believes it is not more likely than not the deferred tax asset in jurisdictions excluding Canada will be realized.</w:t>
      </w:r>
    </w:p>
    <w:p>
      <w:pPr>
        <w:spacing w:after="0" w:line="187"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On December 22, 2017, President Trump signed into law the statute named the “Tax Cuts and Jobs Act” (“TCJA”) which enacts a broad range of changes to the Internal Revenue Code. The TCJA, among other things, includes changes to U.S. federal tax rates, imposes significant additional limitations on the deductibility of interest and net operating losses, allows for the expensing of certain capital expenditures, and puts into effect a number of changes impacting operations outside of the United States including, but not limited to, the imposition of a one-time tax on accumulated post-1986 deferred foreign income that has not previously been subject to tax, and modifications to the treatment of certain intercompany transactions.</w:t>
      </w:r>
    </w:p>
    <w:p>
      <w:pPr>
        <w:spacing w:after="0" w:line="161"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decrease in the US corporate federal income tax rate to 21 percent was effective on January 1, 2018. For the tax year ended January 31, 2018, the blended federal income tax rate for the Company was 33.8%.</w:t>
      </w:r>
    </w:p>
    <w:p>
      <w:pPr>
        <w:spacing w:after="0" w:line="170"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The Company’s net deferred tax assets and liabilities were revalued at the newly enacted U.S. corporate rate of 21%, and the resulting increase to tax expense was offset by a related reduction of the Company’s valuation allowance.</w:t>
      </w:r>
    </w:p>
    <w:p>
      <w:pPr>
        <w:spacing w:after="0" w:line="170" w:lineRule="exact"/>
        <w:rPr>
          <w:sz w:val="20"/>
          <w:szCs w:val="20"/>
          <w:color w:val="auto"/>
        </w:rPr>
      </w:pPr>
    </w:p>
    <w:p>
      <w:pPr>
        <w:ind w:left="120" w:right="160" w:firstLine="881"/>
        <w:spacing w:after="0" w:line="269" w:lineRule="auto"/>
        <w:rPr>
          <w:sz w:val="20"/>
          <w:szCs w:val="20"/>
          <w:color w:val="auto"/>
        </w:rPr>
      </w:pPr>
      <w:r>
        <w:rPr>
          <w:rFonts w:ascii="Arial" w:cs="Arial" w:eastAsia="Arial" w:hAnsi="Arial"/>
          <w:sz w:val="17"/>
          <w:szCs w:val="17"/>
          <w:color w:val="auto"/>
        </w:rPr>
        <w:t>The TCJA also requires companies to pay a one-time transition tax on a mandatory deemed repatriation of earnings of certain foreign subsidiaries that were previously untaxed. The deemed repatriated earnings all relate to the fiscal year ending January 31, 2018 as it was the first year the Company had foreign operations. This deemed repatriation did not result in any additional income tax payable because the deemed repatriation amount was offset by net operating losses. The Company maintains its assertion of the Company’s intent for certain foreign earnings to be indefinitely reinvested. As of January 31, 2020, the Company has not recorded taxes on approximately $2.5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deferred tax liability will be recognized.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900" w:firstLine="881"/>
        <w:spacing w:after="0" w:line="277" w:lineRule="auto"/>
        <w:rPr>
          <w:sz w:val="20"/>
          <w:szCs w:val="20"/>
          <w:color w:val="auto"/>
        </w:rPr>
      </w:pPr>
      <w:r>
        <w:rPr>
          <w:rFonts w:ascii="Arial" w:cs="Arial" w:eastAsia="Arial" w:hAnsi="Arial"/>
          <w:sz w:val="18"/>
          <w:szCs w:val="18"/>
          <w:color w:val="auto"/>
        </w:rPr>
        <w:t>The Company has federal loss carryforwards totaling $267,652 that may be offset against future taxable income. If not used, the carryforwards will expire as follows:</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January 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2032 and before</w:t>
            </w:r>
          </w:p>
        </w:tc>
        <w:tc>
          <w:tcPr>
            <w:tcW w:w="4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40,606</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2033</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2034</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18,355</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2035</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20,379</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2036</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9,995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2037</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51,551</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2038</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25,766</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2039</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13,900</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2040</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3,291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76,710</w:t>
            </w: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267,652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Because of the change of ownership provisions of the Tax Reform Act of 1986, the use of the Company’s U.S. federal loss carryforwards may be limited in future periods. Further, a portion of the carryforwards may expire before being applied to reduce future income tax liabilities.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also has foreign net operating losses of $11.7 million that can be carried forward indefinitely, which are included in the table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Company is subject to taxation in the U.S. federal and various state and foreign jurisdictions. As of January 31, 2020, the Company is no longer subject to U.S. federal and state examinations by tax authorities for years prior to 2016. However, amounts reported as net operating losses and tax credit carryforwards from these tax periods remain subject to review by most tax authorities.</w:t>
      </w:r>
    </w:p>
    <w:p>
      <w:pPr>
        <w:spacing w:after="0" w:line="184" w:lineRule="exact"/>
        <w:rPr>
          <w:sz w:val="20"/>
          <w:szCs w:val="20"/>
          <w:color w:val="auto"/>
        </w:rPr>
      </w:pPr>
    </w:p>
    <w:p>
      <w:pPr>
        <w:jc w:val="both"/>
        <w:ind w:left="120" w:right="100" w:firstLine="881"/>
        <w:spacing w:after="0" w:line="311" w:lineRule="auto"/>
        <w:rPr>
          <w:sz w:val="20"/>
          <w:szCs w:val="20"/>
          <w:color w:val="auto"/>
        </w:rPr>
      </w:pPr>
      <w:r>
        <w:rPr>
          <w:rFonts w:ascii="Arial" w:cs="Arial" w:eastAsia="Arial" w:hAnsi="Arial"/>
          <w:sz w:val="16"/>
          <w:szCs w:val="16"/>
          <w:color w:val="auto"/>
        </w:rPr>
        <w:t>The Company recognizes the income tax benefits of any uncertain tax positions only when, based upon the technical merits of the position, it is more likely than not that the position is sustainable upon examination. With the information available, the Company has performed an analysis and as of January 31, 2019 and 2020, the Company has not recognized any unrecognized tax benefits, interest or penalties for any income tax positions.</w:t>
      </w:r>
    </w:p>
    <w:p>
      <w:pPr>
        <w:spacing w:after="0" w:line="149" w:lineRule="exact"/>
        <w:rPr>
          <w:sz w:val="20"/>
          <w:szCs w:val="20"/>
          <w:color w:val="auto"/>
        </w:rPr>
      </w:pPr>
    </w:p>
    <w:p>
      <w:pPr>
        <w:jc w:val="both"/>
        <w:ind w:left="120" w:firstLine="881"/>
        <w:spacing w:after="0" w:line="279" w:lineRule="auto"/>
        <w:rPr>
          <w:sz w:val="20"/>
          <w:szCs w:val="20"/>
          <w:color w:val="auto"/>
        </w:rPr>
      </w:pPr>
      <w:r>
        <w:rPr>
          <w:rFonts w:ascii="Arial" w:cs="Arial" w:eastAsia="Arial" w:hAnsi="Arial"/>
          <w:sz w:val="17"/>
          <w:szCs w:val="17"/>
          <w:color w:val="auto"/>
        </w:rPr>
        <w:t>On March 27, 2020, President Trump signed into law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continues to examine the impacts the CARES Act may have on the Company’s business.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Defined Contribution Plan</w:t>
      </w:r>
    </w:p>
    <w:p>
      <w:pPr>
        <w:spacing w:after="0" w:line="12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2018, 2019 and 2020 were $0, $0.1 million and $0.9 million,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70"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7680" w:type="dxa"/>
            <w:vAlign w:val="bottom"/>
            <w:gridSpan w:val="3"/>
          </w:tcPr>
          <w:p>
            <w:pPr>
              <w:spacing w:after="0"/>
              <w:rPr>
                <w:sz w:val="20"/>
                <w:szCs w:val="20"/>
                <w:color w:val="auto"/>
              </w:rPr>
            </w:pPr>
            <w:r>
              <w:rPr>
                <w:rFonts w:ascii="Arial" w:cs="Arial" w:eastAsia="Arial" w:hAnsi="Arial"/>
                <w:sz w:val="18"/>
                <w:szCs w:val="18"/>
                <w:color w:val="auto"/>
                <w:w w:val="95"/>
              </w:rPr>
              <w:t>Future minimum lease payments required under operating leases at January 31, 2020 are as follows: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224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vMerge w:val="continue"/>
          </w:tcPr>
          <w:p>
            <w:pPr>
              <w:spacing w:after="0"/>
              <w:rPr>
                <w:sz w:val="17"/>
                <w:szCs w:val="17"/>
                <w:color w:val="auto"/>
              </w:rPr>
            </w:pPr>
          </w:p>
        </w:tc>
        <w:tc>
          <w:tcPr>
            <w:tcW w:w="6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Fiscal Year Ending January 31,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6,068</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2023</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2025</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22,725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70"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Total lease expense amounted to $3.4 million, $5.8 million, and $8.7 million for the fiscal years ended January 31, 2018, 2019 and 2020, respectively.</w:t>
      </w:r>
    </w:p>
    <w:p>
      <w:pPr>
        <w:spacing w:after="0" w:line="170"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We have recognized liabilities for contingencies related to state sales and use tax deemed probable and estimable, including penalties and interest, totaling $0.9 million and $0.2 million at January 31, 2019 and 2020, respectively, which are included in other accrued expenses in the Company’s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Related-Party Transactions</w:t>
      </w:r>
    </w:p>
    <w:p>
      <w:pPr>
        <w:spacing w:after="0" w:line="12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Company’s main vendor is also an equity holder in the Company. Total payments related to the reseller agreement with the related party are disclosed in Note 9.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$0.5 million, $0.8 million and $1.1 million for the fiscal years ended January 31, 2018, 2019 and 2020, respectively, and $0.7 million and $1.1 million were in prepaid expenses and other current assets as of January 31, 2019 and 2020, respectively. Accounts payable to the related party were $2.1 million and $3.3 million at January 31, 2019 and 2020, respectively, included in accounts payable, related parties.</w:t>
      </w:r>
    </w:p>
    <w:p>
      <w:pPr>
        <w:spacing w:after="0" w:line="166"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As discussed in Note 2, there are equity holders who are also customers of the Company. Included in revenues are $8.1 million, $9.9 million and $8.4 million from three equity holder customers for the fiscal years ended January 31, 2018, 2019 and 2020, respectively. Related party balances in current deferred revenue, related parties were $6.9 million and $8.0 million as of January 31, 2019 and 2020, respectively.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Related-Party Transactions (Continued)</w:t>
      </w:r>
    </w:p>
    <w:p>
      <w:pPr>
        <w:spacing w:after="0" w:line="135"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 has a banking relationship with one of its equity holders. Included in interest income is $0.2 million, $0.9 million and $0.7 million for the fiscal years ended January 31, 2018, 2019 and 2020, respectively.</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made an agreement with one of its equity holders in May 2016 to spend an agreed-upon amount of funds over a three-year period to further the alliance between the two companies. As of fiscal year end January 31, 2020, the Company was in compliance with the terms of the agreement. Total consideration amounted to $0.3 million, $1.7 million, and $0.06 million for the fiscal years ended January 31, 2018, 2019 and 2020, respectively. In April 2019, the agreement was extended for an additional three years. As of January 31, 2020, there was a $0.2 million obligation remaining expected to be fulfilled within one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Basic and Diluted Loss per Share</w:t>
      </w:r>
    </w:p>
    <w:p>
      <w:pPr>
        <w:spacing w:after="0" w:line="12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fiscal years ended January 31, 2018, 2019, and 2020 is the same as the basic loss per share as there was a net loss for those periods, and inclusion of potentially issuable shares was anti-dilutive.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70" w:lineRule="exact"/>
        <w:rPr>
          <w:sz w:val="20"/>
          <w:szCs w:val="20"/>
          <w:color w:val="auto"/>
        </w:rPr>
      </w:pPr>
    </w:p>
    <w:p>
      <w:pPr>
        <w:jc w:val="center"/>
        <w:ind w:left="5740"/>
        <w:spacing w:after="0"/>
        <w:rPr>
          <w:sz w:val="20"/>
          <w:szCs w:val="20"/>
          <w:color w:val="auto"/>
        </w:rPr>
      </w:pPr>
      <w:r>
        <w:rPr>
          <w:rFonts w:ascii="Arial" w:cs="Arial" w:eastAsia="Arial" w:hAnsi="Arial"/>
          <w:sz w:val="14"/>
          <w:szCs w:val="14"/>
          <w:color w:val="auto"/>
        </w:rPr>
        <w:t>Fiscal Year Ended</w:t>
      </w:r>
    </w:p>
    <w:p>
      <w:pPr>
        <w:jc w:val="center"/>
        <w:ind w:left="5740"/>
        <w:spacing w:after="0" w:line="231" w:lineRule="auto"/>
        <w:rPr>
          <w:sz w:val="20"/>
          <w:szCs w:val="20"/>
          <w:color w:val="auto"/>
        </w:rPr>
      </w:pPr>
      <w:r>
        <w:rPr>
          <w:rFonts w:ascii="Arial" w:cs="Arial" w:eastAsia="Arial" w:hAnsi="Arial"/>
          <w:sz w:val="14"/>
          <w:szCs w:val="14"/>
          <w:color w:val="auto"/>
        </w:rPr>
        <w:t>January 31,</w:t>
      </w:r>
    </w:p>
    <w:tbl>
      <w:tblPr>
        <w:tblLayout w:type="fixed"/>
        <w:tblInd w:w="560" w:type="dxa"/>
        <w:tblCellMar>
          <w:top w:w="0" w:type="dxa"/>
          <w:left w:w="0" w:type="dxa"/>
          <w:bottom w:w="0" w:type="dxa"/>
          <w:right w:w="0" w:type="dxa"/>
        </w:tblCellMar>
      </w:tblPr>
      <w:tr>
        <w:trPr>
          <w:trHeight w:val="142"/>
        </w:trPr>
        <w:tc>
          <w:tcPr>
            <w:tcW w:w="44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2019</w:t>
            </w:r>
          </w:p>
        </w:tc>
        <w:tc>
          <w:tcPr>
            <w:tcW w:w="7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Weighted-average common shares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68,290,570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78,316,794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Basic loss per share attributable to nCino, Inc.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Dilutive loss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Weighted-average common shares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68,290,570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78,316,794</w:t>
            </w: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Dilutive loss per share attributable to nCino, Inc.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350"/>
        </w:trPr>
        <w:tc>
          <w:tcPr>
            <w:tcW w:w="4480" w:type="dxa"/>
            <w:vAlign w:val="bottom"/>
          </w:tcPr>
          <w:p>
            <w:pPr>
              <w:spacing w:after="0"/>
              <w:rPr>
                <w:sz w:val="24"/>
                <w:szCs w:val="2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F-40</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Basic and Diluted Loss per Share (Continued)</w:t>
      </w:r>
    </w:p>
    <w:p>
      <w:pPr>
        <w:spacing w:after="0" w:line="135" w:lineRule="exact"/>
        <w:rPr>
          <w:sz w:val="20"/>
          <w:szCs w:val="20"/>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The weighted-average number of shares outstanding used in the computation of diluted loss per share does not include the effect of the following potential outstanding common stock because the effect would have been anti-dilutive for the periods presented:</w:t>
      </w:r>
    </w:p>
    <w:p>
      <w:pPr>
        <w:spacing w:after="0" w:line="168" w:lineRule="exact"/>
        <w:rPr>
          <w:sz w:val="20"/>
          <w:szCs w:val="20"/>
          <w:color w:val="auto"/>
        </w:rPr>
      </w:pPr>
    </w:p>
    <w:p>
      <w:pPr>
        <w:jc w:val="center"/>
        <w:ind w:left="5640"/>
        <w:spacing w:after="0"/>
        <w:rPr>
          <w:sz w:val="20"/>
          <w:szCs w:val="20"/>
          <w:color w:val="auto"/>
        </w:rPr>
      </w:pPr>
      <w:r>
        <w:rPr>
          <w:rFonts w:ascii="Arial" w:cs="Arial" w:eastAsia="Arial" w:hAnsi="Arial"/>
          <w:sz w:val="14"/>
          <w:szCs w:val="14"/>
          <w:color w:val="auto"/>
        </w:rPr>
        <w:t>Fiscal Year Ended</w:t>
      </w:r>
    </w:p>
    <w:p>
      <w:pPr>
        <w:jc w:val="center"/>
        <w:ind w:left="564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57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10,291,959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8,206,926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7,837,023</w:t>
            </w:r>
          </w:p>
        </w:tc>
        <w:tc>
          <w:tcPr>
            <w:tcW w:w="80" w:type="dxa"/>
            <w:vAlign w:val="bottom"/>
            <w:shd w:val="clear" w:color="auto" w:fill="CCEEFF"/>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Nonvested RSUs issued and outstanding</w:t>
            </w: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948,119</w:t>
            </w:r>
          </w:p>
        </w:tc>
        <w:tc>
          <w:tcPr>
            <w:tcW w:w="80" w:type="dxa"/>
            <w:vAlign w:val="bottom"/>
          </w:tcPr>
          <w:p>
            <w:pPr>
              <w:spacing w:after="0"/>
              <w:rPr>
                <w:sz w:val="20"/>
                <w:szCs w:val="20"/>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Selected Quarterly Financial Data (Unaudited)</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Selected summarized quarterly financial information for fiscal 2019 and 2020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January 31, 2019</w:t>
            </w:r>
          </w:p>
        </w:tc>
        <w:tc>
          <w:tcPr>
            <w:tcW w:w="2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Revenues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19,064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22,630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23,663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26,177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91,534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10,119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11,048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12,210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13,074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46,451</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11,582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5,833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7,909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7,844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9,692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22,230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2,922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4,217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4,846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14,791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13,350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17,067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16,473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21,409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68,299</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from operations</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(4,405)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(5,485)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(8,306)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(4,191)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(5,279)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(4,912)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(7,730)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(22,112)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Net loss attributable to nCino, Inc.</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(4,251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(5,324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(4,926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(7,805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(22,306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9"/>
              </w:rPr>
              <w:t>Basic and diluted net loss per share attributable to nCino, Inc.</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Fiscal Year Ended January 31, 2020</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29,836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31,978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37,862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38,504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138,180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Cost of revenues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14,038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14,770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16,889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18,373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64,070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15,798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17,208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20,973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20,131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10,453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12,602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13,370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7,366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8,272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9,534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10,132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23"/>
        </w:trPr>
        <w:tc>
          <w:tcPr>
            <w:tcW w:w="48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19,290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27,693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880" w:type="dxa"/>
            <w:vAlign w:val="bottom"/>
          </w:tcPr>
          <w:p>
            <w:pPr>
              <w:spacing w:after="0"/>
              <w:rPr>
                <w:sz w:val="24"/>
                <w:szCs w:val="24"/>
                <w:color w:val="auto"/>
              </w:rPr>
            </w:pPr>
          </w:p>
        </w:tc>
        <w:tc>
          <w:tcPr>
            <w:tcW w:w="2200" w:type="dxa"/>
            <w:vAlign w:val="bottom"/>
            <w:gridSpan w:val="2"/>
          </w:tcPr>
          <w:p>
            <w:pPr>
              <w:jc w:val="right"/>
              <w:ind w:right="1327"/>
              <w:spacing w:after="0"/>
              <w:rPr>
                <w:sz w:val="20"/>
                <w:szCs w:val="20"/>
                <w:color w:val="auto"/>
              </w:rPr>
            </w:pPr>
            <w:r>
              <w:rPr>
                <w:rFonts w:ascii="Arial" w:cs="Arial" w:eastAsia="Arial" w:hAnsi="Arial"/>
                <w:sz w:val="18"/>
                <w:szCs w:val="18"/>
                <w:color w:val="auto"/>
              </w:rPr>
              <w:t>F-41</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Selected Quarterly Financial Data (Unaudited) (Continued)</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70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70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8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(3,492)</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(7,947)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(6,720)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(10,011)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(28,170)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1"/>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(3,283)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(5,931)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(27,149)</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1"/>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(3,419)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(8,502)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(6,089)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(9,725)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(27,735)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(3,419)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(8,502)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(6,029)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(9,644)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(27,594)</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attributable to nCino, Inc.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Subsequent Event</w:t>
      </w:r>
    </w:p>
    <w:p>
      <w:pPr>
        <w:spacing w:after="0" w:line="12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world. COVID-19 is having an unprecedented impact on the global economy as national, state and local governments react to this public health crisis. Due to the COVID-19 outbreak, there is significant uncertainty surrounding the potential impact on the Company’s results of operations and cash flows. Continued impacts of the pandemic could materially adversely affect the Company’s near-term and long-term revenues, earnings, liquidity and cash flows.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UNAUDITED INTERIM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sz w:val="20"/>
                <w:szCs w:val="20"/>
                <w:color w:val="auto"/>
              </w:rPr>
            </w:pPr>
            <w:r>
              <w:rPr>
                <w:rFonts w:ascii="Arial" w:cs="Arial" w:eastAsia="Arial" w:hAnsi="Arial"/>
                <w:sz w:val="18"/>
                <w:szCs w:val="18"/>
                <w:color w:val="auto"/>
              </w:rPr>
              <w:t>Unaudited Financial Statements</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Condensed Consolidated Balance Sheet as of January 31, 2020 and July 31,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F-44</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Unaudited Condensed Consolidated Statements of Operations for the six months ended July 31,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F-45</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Unaudited Condensed Consolidated Statements of Comprehensive Loss for the six months ended July 31,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F-46</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Unaudited Condensed Consolidated Statements of Stockholders’ Equity for the six months ended July 31,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F-47</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Unaudited Condensed Consolidated Statements of Cash Flows for the six months ended July 31,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F-49</w:t>
            </w:r>
          </w:p>
        </w:tc>
        <w:tc>
          <w:tcPr>
            <w:tcW w:w="0" w:type="dxa"/>
            <w:vAlign w:val="bottom"/>
          </w:tcPr>
          <w:p>
            <w:pPr>
              <w:spacing w:after="0"/>
              <w:rPr>
                <w:sz w:val="1"/>
                <w:szCs w:val="1"/>
                <w:color w:val="auto"/>
              </w:rPr>
            </w:pPr>
          </w:p>
        </w:tc>
      </w:tr>
      <w:tr>
        <w:trPr>
          <w:trHeight w:val="230"/>
        </w:trPr>
        <w:tc>
          <w:tcPr>
            <w:tcW w:w="10560" w:type="dxa"/>
            <w:vAlign w:val="bottom"/>
          </w:tcPr>
          <w:p>
            <w:pPr>
              <w:ind w:left="36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Notes to Unaudited Condensed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F-50</w:t>
            </w:r>
          </w:p>
        </w:tc>
        <w:tc>
          <w:tcPr>
            <w:tcW w:w="0" w:type="dxa"/>
            <w:vAlign w:val="bottom"/>
          </w:tcPr>
          <w:p>
            <w:pPr>
              <w:spacing w:after="0"/>
              <w:rPr>
                <w:sz w:val="1"/>
                <w:szCs w:val="1"/>
                <w:color w:val="auto"/>
              </w:rPr>
            </w:pPr>
          </w:p>
        </w:tc>
      </w:tr>
      <w:tr>
        <w:trPr>
          <w:trHeight w:val="364"/>
        </w:trPr>
        <w:tc>
          <w:tcPr>
            <w:tcW w:w="10560" w:type="dxa"/>
            <w:vAlign w:val="bottom"/>
          </w:tcPr>
          <w:p>
            <w:pPr>
              <w:ind w:left="5340"/>
              <w:spacing w:after="0"/>
              <w:rPr>
                <w:sz w:val="20"/>
                <w:szCs w:val="20"/>
                <w:color w:val="auto"/>
              </w:rPr>
            </w:pPr>
            <w:r>
              <w:rPr>
                <w:rFonts w:ascii="Arial" w:cs="Arial" w:eastAsia="Arial" w:hAnsi="Arial"/>
                <w:sz w:val="18"/>
                <w:szCs w:val="18"/>
                <w:color w:val="auto"/>
              </w:rPr>
              <w:t>F-43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January 31, 2020 and July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July 31,</w:t>
            </w:r>
          </w:p>
        </w:tc>
      </w:tr>
      <w:tr>
        <w:trPr>
          <w:trHeight w:val="17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42"/>
        </w:trPr>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2"/>
                <w:szCs w:val="12"/>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(VIE: $8,892 and $8,635 at January 31, 2020 and July 31, 2020, respectively)</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91,184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388,191</w:t>
            </w:r>
          </w:p>
        </w:tc>
      </w:tr>
      <w:tr>
        <w:trPr>
          <w:trHeight w:val="202"/>
        </w:trPr>
        <w:tc>
          <w:tcPr>
            <w:tcW w:w="9080" w:type="dxa"/>
            <w:vAlign w:val="bottom"/>
          </w:tcPr>
          <w:p>
            <w:pPr>
              <w:ind w:left="360"/>
              <w:spacing w:after="0" w:line="201" w:lineRule="exact"/>
              <w:rPr>
                <w:sz w:val="20"/>
                <w:szCs w:val="20"/>
                <w:color w:val="auto"/>
              </w:rPr>
            </w:pPr>
            <w:r>
              <w:rPr>
                <w:rFonts w:ascii="Arial" w:cs="Arial" w:eastAsia="Arial" w:hAnsi="Arial"/>
                <w:sz w:val="18"/>
                <w:szCs w:val="18"/>
                <w:color w:val="auto"/>
                <w:w w:val="96"/>
              </w:rPr>
              <w:t>Accounts receivable, less allowance for doubtful accounts of $0 and $622 at January 31, 2020 and July 31, 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0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34,205</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30,228</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4,007</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7,152</w:t>
            </w:r>
          </w:p>
        </w:tc>
      </w:tr>
      <w:tr>
        <w:trPr>
          <w:trHeight w:val="230"/>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145,277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429,578</w:t>
            </w:r>
          </w:p>
        </w:tc>
        <w:tc>
          <w:tcPr>
            <w:tcW w:w="120" w:type="dxa"/>
            <w:vAlign w:val="bottom"/>
          </w:tcPr>
          <w:p>
            <w:pPr>
              <w:spacing w:after="0"/>
              <w:rPr>
                <w:sz w:val="20"/>
                <w:szCs w:val="20"/>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13,477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14,591</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Costs capitalized to obtain revenue contracts, noncurrent,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7,817</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55,840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56,527</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24,636</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250,151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533,799</w:t>
            </w:r>
          </w:p>
        </w:tc>
        <w:tc>
          <w:tcPr>
            <w:tcW w:w="12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2,188</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Accounts payable, related parties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4,018</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4,701</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Other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4,820</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Deferred revenue,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50,929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84,288</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 portion,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100,223</w:t>
            </w:r>
          </w:p>
        </w:tc>
        <w:tc>
          <w:tcPr>
            <w:tcW w:w="120" w:type="dxa"/>
            <w:vAlign w:val="bottom"/>
          </w:tcPr>
          <w:p>
            <w:pPr>
              <w:spacing w:after="0"/>
              <w:rPr>
                <w:sz w:val="19"/>
                <w:szCs w:val="19"/>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Deferred rent,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1,468</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78,522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101,925</w:t>
            </w:r>
          </w:p>
        </w:tc>
        <w:tc>
          <w:tcPr>
            <w:tcW w:w="120" w:type="dxa"/>
            <w:vAlign w:val="bottom"/>
          </w:tcPr>
          <w:p>
            <w:pPr>
              <w:spacing w:after="0"/>
              <w:rPr>
                <w:sz w:val="20"/>
                <w:szCs w:val="20"/>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8, 11 and 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Redeemable non-controlling interest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4,384</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80" w:type="dxa"/>
            <w:vAlign w:val="bottom"/>
          </w:tcPr>
          <w:p>
            <w:pPr>
              <w:ind w:left="360"/>
              <w:spacing w:after="0" w:line="201" w:lineRule="exact"/>
              <w:rPr>
                <w:sz w:val="20"/>
                <w:szCs w:val="20"/>
                <w:color w:val="auto"/>
              </w:rPr>
            </w:pPr>
            <w:r>
              <w:rPr>
                <w:rFonts w:ascii="Arial" w:cs="Arial" w:eastAsia="Arial" w:hAnsi="Arial"/>
                <w:sz w:val="18"/>
                <w:szCs w:val="18"/>
                <w:color w:val="auto"/>
                <w:w w:val="94"/>
              </w:rPr>
              <w:t>Preferred stock, $0.001 par value; 1,000,000 and 10,000,000 shares authorized as of January 31, 2020 and July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080" w:type="dxa"/>
            <w:vAlign w:val="bottom"/>
          </w:tcPr>
          <w:p>
            <w:pPr>
              <w:ind w:left="540"/>
              <w:spacing w:after="0"/>
              <w:rPr>
                <w:sz w:val="20"/>
                <w:szCs w:val="20"/>
                <w:color w:val="auto"/>
              </w:rPr>
            </w:pPr>
            <w:r>
              <w:rPr>
                <w:rFonts w:ascii="Arial" w:cs="Arial" w:eastAsia="Arial" w:hAnsi="Arial"/>
                <w:sz w:val="18"/>
                <w:szCs w:val="18"/>
                <w:color w:val="auto"/>
                <w:w w:val="99"/>
              </w:rPr>
              <w:t>2020, respectively; and none issued and outstanding as of January 31, 2020 and July 31, 2020,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$0.0005 par value; 0 and 500,000,000 shares authorized as of January 31, 2020 and July 31, 2020,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 0 and 91,122,356 shares issued and outstanding as of January 31, 2020 and July 31, 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02"/>
        </w:trPr>
        <w:tc>
          <w:tcPr>
            <w:tcW w:w="9080" w:type="dxa"/>
            <w:vAlign w:val="bottom"/>
          </w:tcPr>
          <w:p>
            <w:pPr>
              <w:ind w:left="360"/>
              <w:spacing w:after="0" w:line="201" w:lineRule="exact"/>
              <w:rPr>
                <w:sz w:val="20"/>
                <w:szCs w:val="20"/>
                <w:color w:val="auto"/>
              </w:rPr>
            </w:pPr>
            <w:r>
              <w:rPr>
                <w:rFonts w:ascii="Arial" w:cs="Arial" w:eastAsia="Arial" w:hAnsi="Arial"/>
                <w:sz w:val="18"/>
                <w:szCs w:val="18"/>
                <w:color w:val="auto"/>
                <w:w w:val="95"/>
              </w:rPr>
              <w:t>Voting common stock, $0.0005 par value; 99,708,247 and 0 shares authorized as of January 31, 2020 and July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080" w:type="dxa"/>
            <w:vAlign w:val="bottom"/>
          </w:tcPr>
          <w:p>
            <w:pPr>
              <w:ind w:left="540"/>
              <w:spacing w:after="0"/>
              <w:rPr>
                <w:sz w:val="20"/>
                <w:szCs w:val="20"/>
                <w:color w:val="auto"/>
              </w:rPr>
            </w:pPr>
            <w:r>
              <w:rPr>
                <w:rFonts w:ascii="Arial" w:cs="Arial" w:eastAsia="Arial" w:hAnsi="Arial"/>
                <w:sz w:val="18"/>
                <w:szCs w:val="18"/>
                <w:color w:val="auto"/>
                <w:w w:val="96"/>
              </w:rPr>
              <w:t>2020, respectively; 75,596,007 and 0 shares issued and outstanding as of January 31, 2020 and July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0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Non-voting common stock, $0.0005 par value; 10,291,753 and 0 shares authorized as of January 31, 2020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July 31, 2020, respectively; 5,931,319 and 0 shares issued and outstanding as of January 31, 2020 and July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2020,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288,564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567,314</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(120,924)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(140,072)</w:t>
            </w:r>
          </w:p>
        </w:tc>
      </w:tr>
      <w:tr>
        <w:trPr>
          <w:trHeight w:val="27"/>
        </w:trPr>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167,273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427,490</w:t>
            </w: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250,151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533,799</w:t>
            </w:r>
          </w:p>
        </w:tc>
        <w:tc>
          <w:tcPr>
            <w:tcW w:w="12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11"/>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13"/>
            <w:vMerge w:val="restart"/>
          </w:tcPr>
          <w:p>
            <w:pPr>
              <w:jc w:val="right"/>
              <w:ind w:right="32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July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26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060" w:type="dxa"/>
            <w:vAlign w:val="bottom"/>
            <w:gridSpan w:val="2"/>
          </w:tcPr>
          <w:p>
            <w:pPr>
              <w:ind w:left="120"/>
              <w:spacing w:after="0"/>
              <w:rPr>
                <w:sz w:val="20"/>
                <w:szCs w:val="20"/>
                <w:color w:val="auto"/>
              </w:rPr>
            </w:pPr>
            <w:r>
              <w:rPr>
                <w:rFonts w:ascii="Arial" w:cs="Arial" w:eastAsia="Arial" w:hAnsi="Arial"/>
                <w:sz w:val="16"/>
                <w:szCs w:val="16"/>
                <w:color w:val="auto"/>
              </w:rPr>
              <w:t>Subscription (related parties $2,112, $0, $3,867 and $2,439,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23,110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39,351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44,142</w:t>
            </w:r>
          </w:p>
        </w:tc>
        <w:tc>
          <w:tcPr>
            <w:tcW w:w="120" w:type="dxa"/>
            <w:vAlign w:val="bottom"/>
          </w:tcPr>
          <w:p>
            <w:pPr>
              <w:spacing w:after="0"/>
              <w:rPr>
                <w:sz w:val="17"/>
                <w:szCs w:val="17"/>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74,182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Professional services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8,868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9,414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w w:val="98"/>
              </w:rPr>
              <w:t>17,672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vMerge w:val="restart"/>
          </w:tcPr>
          <w:p>
            <w:pPr>
              <w:ind w:left="580"/>
              <w:spacing w:after="0"/>
              <w:rPr>
                <w:sz w:val="20"/>
                <w:szCs w:val="20"/>
                <w:color w:val="auto"/>
              </w:rPr>
            </w:pPr>
            <w:r>
              <w:rPr>
                <w:rFonts w:ascii="Arial" w:cs="Arial" w:eastAsia="Arial" w:hAnsi="Arial"/>
                <w:sz w:val="16"/>
                <w:szCs w:val="16"/>
                <w:color w:val="auto"/>
              </w:rPr>
              <w:t>Total revenues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31,978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48,765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61,814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93,477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Cost of Revenues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060" w:type="dxa"/>
            <w:vAlign w:val="bottom"/>
            <w:gridSpan w:val="2"/>
          </w:tcPr>
          <w:p>
            <w:pPr>
              <w:ind w:left="120"/>
              <w:spacing w:after="0" w:line="202" w:lineRule="exact"/>
              <w:rPr>
                <w:sz w:val="20"/>
                <w:szCs w:val="20"/>
                <w:color w:val="auto"/>
              </w:rPr>
            </w:pPr>
            <w:r>
              <w:rPr>
                <w:rFonts w:ascii="Arial" w:cs="Arial" w:eastAsia="Arial" w:hAnsi="Arial"/>
                <w:sz w:val="14"/>
                <w:szCs w:val="14"/>
                <w:color w:val="auto"/>
              </w:rPr>
              <w:t>Subscription</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(related party $5,361, $8,700, $10,420 and $16,210, respectively)</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7,083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6"/>
                <w:szCs w:val="16"/>
                <w:color w:val="auto"/>
              </w:rPr>
              <w:t>11,920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13,585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4"/>
                <w:szCs w:val="14"/>
                <w:color w:val="auto"/>
              </w:rPr>
              <w:t>Professional services</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7,687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10,667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w w:val="98"/>
              </w:rPr>
              <w:t>15,223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vMerge w:val="restart"/>
          </w:tcPr>
          <w:p>
            <w:pPr>
              <w:ind w:left="580"/>
              <w:spacing w:after="0"/>
              <w:rPr>
                <w:sz w:val="20"/>
                <w:szCs w:val="20"/>
                <w:color w:val="auto"/>
              </w:rPr>
            </w:pPr>
            <w:r>
              <w:rPr>
                <w:rFonts w:ascii="Arial" w:cs="Arial" w:eastAsia="Arial" w:hAnsi="Arial"/>
                <w:sz w:val="16"/>
                <w:szCs w:val="16"/>
                <w:color w:val="auto"/>
              </w:rPr>
              <w:t>Total cost of revenues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14,770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22,587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28,808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41,453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80" w:type="dxa"/>
            <w:vAlign w:val="bottom"/>
            <w:shd w:val="clear" w:color="auto" w:fill="CCEEFF"/>
          </w:tcPr>
          <w:p>
            <w:pPr>
              <w:ind w:left="920"/>
              <w:spacing w:after="0"/>
              <w:rPr>
                <w:sz w:val="20"/>
                <w:szCs w:val="20"/>
                <w:color w:val="auto"/>
              </w:rPr>
            </w:pPr>
            <w:r>
              <w:rPr>
                <w:rFonts w:ascii="Arial" w:cs="Arial" w:eastAsia="Arial" w:hAnsi="Arial"/>
                <w:sz w:val="16"/>
                <w:szCs w:val="16"/>
                <w:b w:val="1"/>
                <w:bCs w:val="1"/>
                <w:color w:val="auto"/>
              </w:rPr>
              <w:t>Gross profit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17,208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26,178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w w:val="98"/>
              </w:rPr>
              <w:t>33,006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gridSpan w:val="3"/>
          </w:tcPr>
          <w:p>
            <w:pPr>
              <w:spacing w:after="0"/>
              <w:rPr>
                <w:sz w:val="20"/>
                <w:szCs w:val="20"/>
                <w:color w:val="auto"/>
              </w:rPr>
            </w:pPr>
            <w:r>
              <w:rPr>
                <w:rFonts w:ascii="Arial" w:cs="Arial" w:eastAsia="Arial" w:hAnsi="Arial"/>
                <w:sz w:val="16"/>
                <w:szCs w:val="16"/>
                <w:b w:val="1"/>
                <w:bCs w:val="1"/>
                <w:color w:val="auto"/>
              </w:rPr>
              <w:t>Operating Expenses</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4"/>
                <w:szCs w:val="14"/>
                <w:color w:val="auto"/>
              </w:rPr>
              <w:t>Sales and marketing</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10,453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15,626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w w:val="98"/>
              </w:rPr>
              <w:t>18,468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27,852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060" w:type="dxa"/>
            <w:vAlign w:val="bottom"/>
            <w:gridSpan w:val="2"/>
          </w:tcPr>
          <w:p>
            <w:pPr>
              <w:ind w:left="120"/>
              <w:spacing w:after="0" w:line="202"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3"/>
                <w:szCs w:val="23"/>
                <w:color w:val="auto"/>
                <w:vertAlign w:val="superscript"/>
              </w:rPr>
              <w:t>1</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8,272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15,292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15,638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26,257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6,430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w w:val="98"/>
              </w:rPr>
              <w:t>10,339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vMerge w:val="restart"/>
          </w:tcPr>
          <w:p>
            <w:pPr>
              <w:ind w:left="58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25,155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41,871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44,445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71,988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80" w:type="dxa"/>
            <w:vAlign w:val="bottom"/>
            <w:shd w:val="clear" w:color="auto" w:fill="CCEEFF"/>
          </w:tcPr>
          <w:p>
            <w:pPr>
              <w:ind w:left="920"/>
              <w:spacing w:after="0"/>
              <w:rPr>
                <w:sz w:val="20"/>
                <w:szCs w:val="20"/>
                <w:color w:val="auto"/>
              </w:rPr>
            </w:pPr>
            <w:r>
              <w:rPr>
                <w:rFonts w:ascii="Arial" w:cs="Arial" w:eastAsia="Arial" w:hAnsi="Arial"/>
                <w:sz w:val="16"/>
                <w:szCs w:val="16"/>
                <w:b w:val="1"/>
                <w:bCs w:val="1"/>
                <w:color w:val="auto"/>
              </w:rPr>
              <w:t>Loss from operations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(7,947)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7"/>
              </w:rPr>
              <w:t>(15,693)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68"/>
              <w:spacing w:after="0"/>
              <w:rPr>
                <w:sz w:val="20"/>
                <w:szCs w:val="20"/>
                <w:color w:val="auto"/>
              </w:rPr>
            </w:pPr>
            <w:r>
              <w:rPr>
                <w:rFonts w:ascii="Arial" w:cs="Arial" w:eastAsia="Arial" w:hAnsi="Arial"/>
                <w:sz w:val="16"/>
                <w:szCs w:val="16"/>
                <w:color w:val="auto"/>
                <w:w w:val="87"/>
              </w:rPr>
              <w:t>(11,439)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(19,964)</w:t>
            </w:r>
          </w:p>
        </w:tc>
        <w:tc>
          <w:tcPr>
            <w:tcW w:w="0" w:type="dxa"/>
            <w:vAlign w:val="bottom"/>
          </w:tcPr>
          <w:p>
            <w:pPr>
              <w:spacing w:after="0"/>
              <w:rPr>
                <w:sz w:val="1"/>
                <w:szCs w:val="1"/>
                <w:color w:val="auto"/>
              </w:rPr>
            </w:pPr>
          </w:p>
        </w:tc>
      </w:tr>
      <w:tr>
        <w:trPr>
          <w:trHeight w:val="207"/>
        </w:trPr>
        <w:tc>
          <w:tcPr>
            <w:tcW w:w="6260" w:type="dxa"/>
            <w:vAlign w:val="bottom"/>
            <w:gridSpan w:val="3"/>
          </w:tcPr>
          <w:p>
            <w:pPr>
              <w:spacing w:after="0"/>
              <w:rPr>
                <w:sz w:val="20"/>
                <w:szCs w:val="20"/>
                <w:color w:val="auto"/>
              </w:rPr>
            </w:pPr>
            <w:r>
              <w:rPr>
                <w:rFonts w:ascii="Arial" w:cs="Arial" w:eastAsia="Arial" w:hAnsi="Arial"/>
                <w:sz w:val="16"/>
                <w:szCs w:val="16"/>
                <w:b w:val="1"/>
                <w:bCs w:val="1"/>
                <w:color w:val="auto"/>
              </w:rPr>
              <w:t>Non-operating Income (Expense)</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income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06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(618)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6"/>
                <w:szCs w:val="16"/>
                <w:color w:val="auto"/>
              </w:rPr>
              <w:t>1,117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68"/>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80" w:type="dxa"/>
            <w:vAlign w:val="bottom"/>
            <w:shd w:val="clear" w:color="auto" w:fill="CCEEFF"/>
          </w:tcPr>
          <w:p>
            <w:pPr>
              <w:ind w:left="920"/>
              <w:spacing w:after="0"/>
              <w:rPr>
                <w:sz w:val="20"/>
                <w:szCs w:val="20"/>
                <w:color w:val="auto"/>
              </w:rPr>
            </w:pPr>
            <w:r>
              <w:rPr>
                <w:rFonts w:ascii="Arial" w:cs="Arial" w:eastAsia="Arial" w:hAnsi="Arial"/>
                <w:sz w:val="16"/>
                <w:szCs w:val="16"/>
                <w:b w:val="1"/>
                <w:bCs w:val="1"/>
                <w:color w:val="auto"/>
              </w:rPr>
              <w:t>Loss before income tax expense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7"/>
              </w:rPr>
              <w:t>(14,521)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68"/>
              <w:spacing w:after="0"/>
              <w:rPr>
                <w:sz w:val="20"/>
                <w:szCs w:val="20"/>
                <w:color w:val="auto"/>
              </w:rPr>
            </w:pPr>
            <w:r>
              <w:rPr>
                <w:rFonts w:ascii="Arial" w:cs="Arial" w:eastAsia="Arial" w:hAnsi="Arial"/>
                <w:sz w:val="16"/>
                <w:szCs w:val="16"/>
                <w:color w:val="auto"/>
                <w:w w:val="87"/>
              </w:rPr>
              <w:t>(11,583)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(19,156)</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ind w:left="260"/>
              <w:spacing w:after="0"/>
              <w:rPr>
                <w:sz w:val="20"/>
                <w:szCs w:val="20"/>
                <w:color w:val="auto"/>
              </w:rPr>
            </w:pPr>
            <w:r>
              <w:rPr>
                <w:rFonts w:ascii="Arial" w:cs="Arial" w:eastAsia="Arial" w:hAnsi="Arial"/>
                <w:sz w:val="16"/>
                <w:szCs w:val="16"/>
                <w:color w:val="auto"/>
              </w:rPr>
              <w:t>Income tax expense</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202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(8,502)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7"/>
              </w:rPr>
              <w:t>(14,724)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68"/>
              <w:spacing w:after="0"/>
              <w:rPr>
                <w:sz w:val="20"/>
                <w:szCs w:val="20"/>
                <w:color w:val="auto"/>
              </w:rPr>
            </w:pPr>
            <w:r>
              <w:rPr>
                <w:rFonts w:ascii="Arial" w:cs="Arial" w:eastAsia="Arial" w:hAnsi="Arial"/>
                <w:sz w:val="16"/>
                <w:szCs w:val="16"/>
                <w:color w:val="auto"/>
                <w:w w:val="87"/>
              </w:rPr>
              <w:t>(11,921)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(19,556)</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ind w:left="260"/>
              <w:spacing w:after="0"/>
              <w:rPr>
                <w:sz w:val="20"/>
                <w:szCs w:val="20"/>
                <w:color w:val="auto"/>
              </w:rPr>
            </w:pPr>
            <w:r>
              <w:rPr>
                <w:rFonts w:ascii="Arial" w:cs="Arial" w:eastAsia="Arial" w:hAnsi="Arial"/>
                <w:sz w:val="16"/>
                <w:szCs w:val="16"/>
                <w:color w:val="auto"/>
              </w:rPr>
              <w:t>Net loss attributable to redeemable non-controlling interest (Note 3)</w:t>
            </w:r>
          </w:p>
        </w:tc>
        <w:tc>
          <w:tcPr>
            <w:tcW w:w="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6"/>
                <w:szCs w:val="16"/>
                <w:color w:val="auto"/>
              </w:rPr>
              <w:t>(232)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4"/>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 attributable to redeemable non-controlling interest (Note 3)</w:t>
            </w: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ind w:left="920"/>
              <w:spacing w:after="0"/>
              <w:rPr>
                <w:sz w:val="20"/>
                <w:szCs w:val="20"/>
                <w:color w:val="auto"/>
              </w:rPr>
            </w:pPr>
            <w:r>
              <w:rPr>
                <w:rFonts w:ascii="Arial" w:cs="Arial" w:eastAsia="Arial" w:hAnsi="Arial"/>
                <w:sz w:val="16"/>
                <w:szCs w:val="16"/>
                <w:b w:val="1"/>
                <w:bCs w:val="1"/>
                <w:color w:val="auto"/>
              </w:rPr>
              <w:t>Net loss attributable to nCino, 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(8,502)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6"/>
                <w:szCs w:val="16"/>
                <w:color w:val="auto"/>
                <w:w w:val="97"/>
              </w:rPr>
              <w:t>(14,646)</w:t>
            </w:r>
          </w:p>
        </w:tc>
        <w:tc>
          <w:tcPr>
            <w:tcW w:w="180" w:type="dxa"/>
            <w:vAlign w:val="bottom"/>
          </w:tcPr>
          <w:p>
            <w:pPr>
              <w:spacing w:after="0"/>
              <w:rPr>
                <w:sz w:val="17"/>
                <w:szCs w:val="17"/>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80" w:type="dxa"/>
            <w:vAlign w:val="bottom"/>
            <w:gridSpan w:val="4"/>
          </w:tcPr>
          <w:p>
            <w:pPr>
              <w:jc w:val="right"/>
              <w:ind w:right="68"/>
              <w:spacing w:after="0"/>
              <w:rPr>
                <w:sz w:val="20"/>
                <w:szCs w:val="20"/>
                <w:color w:val="auto"/>
              </w:rPr>
            </w:pPr>
            <w:r>
              <w:rPr>
                <w:rFonts w:ascii="Arial" w:cs="Arial" w:eastAsia="Arial" w:hAnsi="Arial"/>
                <w:sz w:val="16"/>
                <w:szCs w:val="16"/>
                <w:color w:val="auto"/>
                <w:w w:val="87"/>
              </w:rPr>
              <w:t>(11,921)</w:t>
            </w:r>
          </w:p>
        </w:tc>
        <w:tc>
          <w:tcPr>
            <w:tcW w:w="120" w:type="dxa"/>
            <w:vAlign w:val="bottom"/>
          </w:tcPr>
          <w:p>
            <w:pPr>
              <w:spacing w:after="0"/>
              <w:rPr>
                <w:sz w:val="17"/>
                <w:szCs w:val="17"/>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(19,415)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loss per share attributable to nCino, Inc.:</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ind w:left="260"/>
              <w:spacing w:after="0"/>
              <w:rPr>
                <w:sz w:val="20"/>
                <w:szCs w:val="20"/>
                <w:color w:val="auto"/>
              </w:rPr>
            </w:pPr>
            <w:r>
              <w:rPr>
                <w:rFonts w:ascii="Arial" w:cs="Arial" w:eastAsia="Arial" w:hAnsi="Arial"/>
                <w:sz w:val="16"/>
                <w:szCs w:val="16"/>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(0.11)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6"/>
                <w:szCs w:val="16"/>
                <w:color w:val="auto"/>
              </w:rPr>
              <w:t>(0.17)</w:t>
            </w:r>
          </w:p>
        </w:tc>
        <w:tc>
          <w:tcPr>
            <w:tcW w:w="180" w:type="dxa"/>
            <w:vAlign w:val="bottom"/>
          </w:tcPr>
          <w:p>
            <w:pPr>
              <w:spacing w:after="0"/>
              <w:rPr>
                <w:sz w:val="17"/>
                <w:szCs w:val="17"/>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80" w:type="dxa"/>
            <w:vAlign w:val="bottom"/>
            <w:gridSpan w:val="4"/>
          </w:tcPr>
          <w:p>
            <w:pPr>
              <w:jc w:val="right"/>
              <w:ind w:right="68"/>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7"/>
                <w:szCs w:val="17"/>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Weighted average number of common shares outstanding:</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ind w:left="260"/>
              <w:spacing w:after="0"/>
              <w:rPr>
                <w:sz w:val="20"/>
                <w:szCs w:val="20"/>
                <w:color w:val="auto"/>
              </w:rPr>
            </w:pPr>
            <w:r>
              <w:rPr>
                <w:rFonts w:ascii="Arial" w:cs="Arial" w:eastAsia="Arial" w:hAnsi="Arial"/>
                <w:sz w:val="16"/>
                <w:szCs w:val="16"/>
                <w:color w:val="auto"/>
              </w:rPr>
              <w:t>Basic and diluted</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76,420,098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6"/>
          </w:tcPr>
          <w:p>
            <w:pPr>
              <w:jc w:val="right"/>
              <w:spacing w:after="0"/>
              <w:rPr>
                <w:sz w:val="20"/>
                <w:szCs w:val="20"/>
                <w:color w:val="auto"/>
              </w:rPr>
            </w:pPr>
            <w:r>
              <w:rPr>
                <w:rFonts w:ascii="Arial" w:cs="Arial" w:eastAsia="Arial" w:hAnsi="Arial"/>
                <w:sz w:val="16"/>
                <w:szCs w:val="16"/>
                <w:color w:val="auto"/>
                <w:w w:val="89"/>
              </w:rPr>
              <w:t>84,629,777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7"/>
          </w:tcPr>
          <w:p>
            <w:pPr>
              <w:jc w:val="right"/>
              <w:ind w:right="108"/>
              <w:spacing w:after="0"/>
              <w:rPr>
                <w:sz w:val="20"/>
                <w:szCs w:val="20"/>
                <w:color w:val="auto"/>
              </w:rPr>
            </w:pPr>
            <w:r>
              <w:rPr>
                <w:rFonts w:ascii="Arial" w:cs="Arial" w:eastAsia="Arial" w:hAnsi="Arial"/>
                <w:sz w:val="16"/>
                <w:szCs w:val="16"/>
                <w:color w:val="auto"/>
              </w:rPr>
              <w:t>76,206,900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w w:val="87"/>
              </w:rPr>
              <w:t>83,112,132</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4"/>
                <w:szCs w:val="14"/>
                <w:color w:val="auto"/>
              </w:rPr>
              <w:t>1</w:t>
            </w:r>
          </w:p>
        </w:tc>
        <w:tc>
          <w:tcPr>
            <w:tcW w:w="180" w:type="dxa"/>
            <w:vAlign w:val="bottom"/>
          </w:tcPr>
          <w:p>
            <w:pPr>
              <w:spacing w:after="0" w:line="20" w:lineRule="exact"/>
              <w:rPr>
                <w:sz w:val="1"/>
                <w:szCs w:val="1"/>
                <w:color w:val="auto"/>
              </w:rPr>
            </w:pPr>
          </w:p>
        </w:tc>
        <w:tc>
          <w:tcPr>
            <w:tcW w:w="5880" w:type="dxa"/>
            <w:vAlign w:val="bottom"/>
            <w:vMerge w:val="restart"/>
          </w:tcPr>
          <w:p>
            <w:pPr>
              <w:ind w:left="40"/>
              <w:spacing w:after="0"/>
              <w:rPr>
                <w:sz w:val="20"/>
                <w:szCs w:val="20"/>
                <w:color w:val="auto"/>
              </w:rPr>
            </w:pPr>
            <w:r>
              <w:rPr>
                <w:rFonts w:ascii="Arial" w:cs="Arial" w:eastAsia="Arial" w:hAnsi="Arial"/>
                <w:sz w:val="16"/>
                <w:szCs w:val="16"/>
                <w:color w:val="auto"/>
              </w:rPr>
              <w:t>Includes stock-based compensation expense as follows: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9"/>
          </w:tcPr>
          <w:p>
            <w:pPr>
              <w:jc w:val="right"/>
              <w:ind w:right="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24"/>
                <w:szCs w:val="24"/>
                <w:color w:val="auto"/>
              </w:rPr>
            </w:pPr>
          </w:p>
        </w:tc>
        <w:tc>
          <w:tcPr>
            <w:tcW w:w="1660" w:type="dxa"/>
            <w:vAlign w:val="bottom"/>
            <w:gridSpan w:val="10"/>
          </w:tcPr>
          <w:p>
            <w:pPr>
              <w:ind w:lef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5"/>
          </w:tcPr>
          <w:p>
            <w:pPr>
              <w:jc w:val="right"/>
              <w:spacing w:after="0"/>
              <w:rPr>
                <w:sz w:val="20"/>
                <w:szCs w:val="20"/>
                <w:color w:val="auto"/>
              </w:rPr>
            </w:pPr>
            <w:r>
              <w:rPr>
                <w:rFonts w:ascii="Arial" w:cs="Arial" w:eastAsia="Arial" w:hAnsi="Arial"/>
                <w:sz w:val="14"/>
                <w:szCs w:val="14"/>
                <w:b w:val="1"/>
                <w:bCs w:val="1"/>
                <w:color w:val="auto"/>
              </w:rPr>
              <w:t>July 31,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w w:val="83"/>
              </w:rPr>
              <w:t>2020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subscription revenues</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34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Cost of professional services revenues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6"/>
                <w:szCs w:val="16"/>
                <w:color w:val="auto"/>
              </w:rPr>
              <w:t>2,282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2,548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3,346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3,661</w:t>
            </w:r>
          </w:p>
        </w:tc>
        <w:tc>
          <w:tcPr>
            <w:tcW w:w="34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6"/>
                <w:szCs w:val="16"/>
                <w:color w:val="auto"/>
              </w:rPr>
              <w:t>3,031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3,340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4,368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1,623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4,468</w:t>
            </w:r>
          </w:p>
        </w:tc>
        <w:tc>
          <w:tcPr>
            <w:tcW w:w="34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6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 stock-based compensation expense</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7"/>
                <w:szCs w:val="17"/>
                <w:color w:val="auto"/>
              </w:rPr>
            </w:pPr>
          </w:p>
        </w:tc>
        <w:tc>
          <w:tcPr>
            <w:tcW w:w="60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2,492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ind w:right="20"/>
              <w:spacing w:after="0"/>
              <w:rPr>
                <w:sz w:val="20"/>
                <w:szCs w:val="20"/>
                <w:color w:val="auto"/>
              </w:rPr>
            </w:pPr>
            <w:r>
              <w:rPr>
                <w:rFonts w:ascii="Arial" w:cs="Arial" w:eastAsia="Arial" w:hAnsi="Arial"/>
                <w:sz w:val="16"/>
                <w:szCs w:val="16"/>
                <w:color w:val="auto"/>
                <w:w w:val="89"/>
              </w:rPr>
              <w:t>13,269</w:t>
            </w:r>
          </w:p>
        </w:tc>
        <w:tc>
          <w:tcPr>
            <w:tcW w:w="3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w w:val="89"/>
              </w:rPr>
              <w:t>3,601</w:t>
            </w:r>
          </w:p>
        </w:tc>
        <w:tc>
          <w:tcPr>
            <w:tcW w:w="120" w:type="dxa"/>
            <w:vAlign w:val="bottom"/>
          </w:tcPr>
          <w:p>
            <w:pPr>
              <w:spacing w:after="0"/>
              <w:rPr>
                <w:sz w:val="17"/>
                <w:szCs w:val="17"/>
                <w:color w:val="auto"/>
              </w:rPr>
            </w:pPr>
          </w:p>
        </w:tc>
        <w:tc>
          <w:tcPr>
            <w:tcW w:w="640" w:type="dxa"/>
            <w:vAlign w:val="bottom"/>
            <w:gridSpan w:val="4"/>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14,320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7"/>
          </w:tcPr>
          <w:p>
            <w:pPr>
              <w:jc w:val="right"/>
              <w:ind w:right="281"/>
              <w:spacing w:after="0"/>
              <w:rPr>
                <w:sz w:val="20"/>
                <w:szCs w:val="20"/>
                <w:color w:val="auto"/>
              </w:rPr>
            </w:pPr>
            <w:r>
              <w:rPr>
                <w:rFonts w:ascii="Arial" w:cs="Arial" w:eastAsia="Arial" w:hAnsi="Arial"/>
                <w:sz w:val="14"/>
                <w:szCs w:val="14"/>
                <w:b w:val="1"/>
                <w:bCs w:val="1"/>
                <w:color w:val="auto"/>
                <w:w w:val="93"/>
              </w:rPr>
              <w:t>Three Months Ended July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161"/>
              <w:spacing w:after="0"/>
              <w:rPr>
                <w:sz w:val="20"/>
                <w:szCs w:val="20"/>
                <w:color w:val="auto"/>
              </w:rPr>
            </w:pPr>
            <w:r>
              <w:rPr>
                <w:rFonts w:ascii="Arial" w:cs="Arial" w:eastAsia="Arial" w:hAnsi="Arial"/>
                <w:sz w:val="14"/>
                <w:szCs w:val="14"/>
                <w:b w:val="1"/>
                <w:bCs w:val="1"/>
                <w:color w:val="auto"/>
                <w:w w:val="93"/>
              </w:rPr>
              <w:t>Six Months Ended July 31,</w:t>
            </w:r>
          </w:p>
        </w:tc>
      </w:tr>
      <w:tr>
        <w:trPr>
          <w:trHeight w:val="142"/>
        </w:trPr>
        <w:tc>
          <w:tcPr>
            <w:tcW w:w="6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(11,921)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(19,556)</w:t>
            </w: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779</w:t>
            </w:r>
          </w:p>
        </w:tc>
      </w:tr>
      <w:tr>
        <w:trPr>
          <w:trHeight w:val="230"/>
        </w:trPr>
        <w:tc>
          <w:tcPr>
            <w:tcW w:w="6520" w:type="dxa"/>
            <w:vAlign w:val="bottom"/>
          </w:tcPr>
          <w:p>
            <w:pPr>
              <w:ind w:left="720"/>
              <w:spacing w:after="0"/>
              <w:rPr>
                <w:sz w:val="20"/>
                <w:szCs w:val="20"/>
                <w:color w:val="auto"/>
              </w:rPr>
            </w:pPr>
            <w:r>
              <w:rPr>
                <w:rFonts w:ascii="Arial" w:cs="Arial" w:eastAsia="Arial" w:hAnsi="Arial"/>
                <w:sz w:val="18"/>
                <w:szCs w:val="18"/>
                <w:b w:val="1"/>
                <w:bCs w:val="1"/>
                <w:color w:val="auto"/>
              </w:rPr>
              <w:t>Other comprehensive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r>
      <w:tr>
        <w:trPr>
          <w:trHeight w:val="216"/>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(14,257)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(11,472)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(18,777)</w:t>
            </w: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w w:val="98"/>
              </w:rPr>
              <w:t>Less comprehensive loss attributable to redeemable non-controlling interest: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w w:val="98"/>
              </w:rPr>
              <w:t>Foreign currency translation attributable to redeemable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169</w:t>
            </w: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w w:val="94"/>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6520" w:type="dxa"/>
            <w:vAlign w:val="bottom"/>
          </w:tcPr>
          <w:p>
            <w:pPr>
              <w:ind w:left="720"/>
              <w:spacing w:after="0"/>
              <w:rPr>
                <w:sz w:val="20"/>
                <w:szCs w:val="20"/>
                <w:color w:val="auto"/>
              </w:rPr>
            </w:pPr>
            <w:r>
              <w:rPr>
                <w:rFonts w:ascii="Arial" w:cs="Arial" w:eastAsia="Arial" w:hAnsi="Arial"/>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(18,538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0"/>
          </w:tcPr>
          <w:p>
            <w:pPr>
              <w:ind w:left="580"/>
              <w:spacing w:after="0"/>
              <w:rPr>
                <w:sz w:val="20"/>
                <w:szCs w:val="20"/>
                <w:color w:val="auto"/>
              </w:rPr>
            </w:pPr>
            <w:r>
              <w:rPr>
                <w:rFonts w:ascii="Arial" w:cs="Arial" w:eastAsia="Arial" w:hAnsi="Arial"/>
                <w:sz w:val="14"/>
                <w:szCs w:val="14"/>
                <w:b w:val="1"/>
                <w:bCs w:val="1"/>
                <w:color w:val="auto"/>
              </w:rPr>
              <w:t>Three Months Ended July 31, 2019</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4460" w:type="dxa"/>
            <w:vAlign w:val="bottom"/>
          </w:tcPr>
          <w:p>
            <w:pPr>
              <w:spacing w:after="0"/>
              <w:rPr>
                <w:sz w:val="11"/>
                <w:szCs w:val="11"/>
                <w:color w:val="auto"/>
              </w:rPr>
            </w:pPr>
          </w:p>
        </w:tc>
        <w:tc>
          <w:tcPr>
            <w:tcW w:w="900" w:type="dxa"/>
            <w:vAlign w:val="bottom"/>
            <w:gridSpan w:val="2"/>
          </w:tcPr>
          <w:p>
            <w:pPr>
              <w:jc w:val="center"/>
              <w:ind w:left="428"/>
              <w:spacing w:after="0" w:line="129" w:lineRule="exact"/>
              <w:rPr>
                <w:sz w:val="20"/>
                <w:szCs w:val="20"/>
                <w:color w:val="auto"/>
              </w:rPr>
            </w:pPr>
            <w:r>
              <w:rPr>
                <w:rFonts w:ascii="Arial" w:cs="Arial" w:eastAsia="Arial" w:hAnsi="Arial"/>
                <w:sz w:val="14"/>
                <w:szCs w:val="14"/>
                <w:color w:val="auto"/>
              </w:rPr>
              <w:t>Voting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tcPr>
          <w:p>
            <w:pPr>
              <w:ind w:left="320"/>
              <w:spacing w:after="0" w:line="129" w:lineRule="exact"/>
              <w:rPr>
                <w:sz w:val="20"/>
                <w:szCs w:val="20"/>
                <w:color w:val="auto"/>
              </w:rPr>
            </w:pPr>
            <w:r>
              <w:rPr>
                <w:rFonts w:ascii="Arial" w:cs="Arial" w:eastAsia="Arial" w:hAnsi="Arial"/>
                <w:sz w:val="14"/>
                <w:szCs w:val="14"/>
                <w:color w:val="auto"/>
              </w:rPr>
              <w:t>Non-voting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1"/>
                <w:szCs w:val="11"/>
                <w:color w:val="auto"/>
              </w:rPr>
            </w:pPr>
          </w:p>
        </w:tc>
        <w:tc>
          <w:tcPr>
            <w:tcW w:w="660" w:type="dxa"/>
            <w:vAlign w:val="bottom"/>
          </w:tcPr>
          <w:p>
            <w:pPr>
              <w:jc w:val="center"/>
              <w:ind w:left="188"/>
              <w:spacing w:after="0" w:line="12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4460" w:type="dxa"/>
            <w:vAlign w:val="bottom"/>
          </w:tcPr>
          <w:p>
            <w:pPr>
              <w:spacing w:after="0"/>
              <w:rPr>
                <w:sz w:val="14"/>
                <w:szCs w:val="14"/>
                <w:color w:val="auto"/>
              </w:rPr>
            </w:pPr>
          </w:p>
        </w:tc>
        <w:tc>
          <w:tcPr>
            <w:tcW w:w="116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4"/>
                <w:szCs w:val="14"/>
                <w:color w:val="auto"/>
                <w:w w:val="91"/>
              </w:rPr>
              <w:t>Common Stock</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Common Stock</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Paid-in</w:t>
            </w:r>
          </w:p>
        </w:tc>
        <w:tc>
          <w:tcPr>
            <w:tcW w:w="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w w:val="99"/>
              </w:rPr>
              <w:t>Comprehensive</w:t>
            </w:r>
          </w:p>
        </w:tc>
        <w:tc>
          <w:tcPr>
            <w:tcW w:w="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Shares</w:t>
            </w:r>
          </w:p>
        </w:tc>
        <w:tc>
          <w:tcPr>
            <w:tcW w:w="2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80" w:type="dxa"/>
            <w:vAlign w:val="bottom"/>
          </w:tcPr>
          <w:p>
            <w:pPr>
              <w:spacing w:after="0"/>
              <w:rPr>
                <w:sz w:val="12"/>
                <w:szCs w:val="12"/>
                <w:color w:val="auto"/>
              </w:rPr>
            </w:pPr>
          </w:p>
        </w:tc>
        <w:tc>
          <w:tcPr>
            <w:tcW w:w="8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Shares</w:t>
            </w: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w w:val="91"/>
              </w:rPr>
              <w:t>Capital</w:t>
            </w:r>
          </w:p>
        </w:tc>
        <w:tc>
          <w:tcPr>
            <w:tcW w:w="80" w:type="dxa"/>
            <w:vAlign w:val="bottom"/>
          </w:tcPr>
          <w:p>
            <w:pPr>
              <w:spacing w:after="0"/>
              <w:rPr>
                <w:sz w:val="12"/>
                <w:szCs w:val="12"/>
                <w:color w:val="auto"/>
              </w:rPr>
            </w:pPr>
          </w:p>
        </w:tc>
        <w:tc>
          <w:tcPr>
            <w:tcW w:w="1000" w:type="dxa"/>
            <w:vAlign w:val="bottom"/>
            <w:gridSpan w:val="3"/>
          </w:tcPr>
          <w:p>
            <w:pPr>
              <w:jc w:val="center"/>
              <w:ind w:right="80"/>
              <w:spacing w:after="0" w:line="142" w:lineRule="exact"/>
              <w:rPr>
                <w:sz w:val="20"/>
                <w:szCs w:val="20"/>
                <w:color w:val="auto"/>
              </w:rPr>
            </w:pPr>
            <w:r>
              <w:rPr>
                <w:rFonts w:ascii="Arial" w:cs="Arial" w:eastAsia="Arial" w:hAnsi="Arial"/>
                <w:sz w:val="14"/>
                <w:szCs w:val="14"/>
                <w:color w:val="auto"/>
                <w:w w:val="94"/>
              </w:rPr>
              <w:t>Income (Loss)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w w:val="96"/>
              </w:rPr>
              <w:t>Total</w:t>
            </w:r>
          </w:p>
        </w:tc>
      </w:tr>
      <w:tr>
        <w:trPr>
          <w:trHeight w:val="142"/>
        </w:trPr>
        <w:tc>
          <w:tcPr>
            <w:tcW w:w="4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April 30, 2019</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70,318,021</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86"/>
              </w:rPr>
              <w:t>5,701,435</w:t>
            </w:r>
          </w:p>
        </w:tc>
        <w:tc>
          <w:tcPr>
            <w:tcW w:w="1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172,152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37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(96,749)</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75,478</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4460" w:type="dxa"/>
            <w:vAlign w:val="bottom"/>
          </w:tcPr>
          <w:p>
            <w:pPr>
              <w:ind w:left="280"/>
              <w:spacing w:after="0" w:line="149" w:lineRule="exact"/>
              <w:rPr>
                <w:sz w:val="20"/>
                <w:szCs w:val="20"/>
                <w:color w:val="auto"/>
              </w:rPr>
            </w:pPr>
            <w:r>
              <w:rPr>
                <w:rFonts w:ascii="Arial" w:cs="Arial" w:eastAsia="Arial" w:hAnsi="Arial"/>
                <w:sz w:val="14"/>
                <w:szCs w:val="14"/>
                <w:color w:val="auto"/>
              </w:rPr>
              <w:t>Stock issuance related to business combinations</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1,438,805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23,811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23,812</w:t>
            </w:r>
          </w:p>
        </w:tc>
      </w:tr>
      <w:tr>
        <w:trPr>
          <w:trHeight w:val="149"/>
        </w:trPr>
        <w:tc>
          <w:tcPr>
            <w:tcW w:w="4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56,269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w:t>
            </w:r>
          </w:p>
        </w:tc>
      </w:tr>
      <w:tr>
        <w:trPr>
          <w:trHeight w:val="148"/>
        </w:trPr>
        <w:tc>
          <w:tcPr>
            <w:tcW w:w="446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2,492</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2,492</w:t>
            </w:r>
          </w:p>
        </w:tc>
      </w:tr>
      <w:tr>
        <w:trPr>
          <w:trHeight w:val="148"/>
        </w:trPr>
        <w:tc>
          <w:tcPr>
            <w:tcW w:w="4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w:t>
            </w:r>
          </w:p>
        </w:tc>
      </w:tr>
      <w:tr>
        <w:trPr>
          <w:trHeight w:val="148"/>
        </w:trPr>
        <w:tc>
          <w:tcPr>
            <w:tcW w:w="4460" w:type="dxa"/>
            <w:vAlign w:val="bottom"/>
          </w:tcPr>
          <w:p>
            <w:pPr>
              <w:ind w:left="280"/>
              <w:spacing w:after="0" w:line="149" w:lineRule="exact"/>
              <w:rPr>
                <w:sz w:val="20"/>
                <w:szCs w:val="20"/>
                <w:color w:val="auto"/>
              </w:rPr>
            </w:pPr>
            <w:r>
              <w:rPr>
                <w:rFonts w:ascii="Arial" w:cs="Arial" w:eastAsia="Arial" w:hAnsi="Arial"/>
                <w:sz w:val="14"/>
                <w:szCs w:val="14"/>
                <w:color w:val="auto"/>
              </w:rPr>
              <w:t>Net loss attributable to nCino, Inc.</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(8,502)</w:t>
            </w: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(8,502)</w:t>
            </w:r>
          </w:p>
        </w:tc>
      </w:tr>
      <w:tr>
        <w:trPr>
          <w:trHeight w:val="27"/>
        </w:trPr>
        <w:tc>
          <w:tcPr>
            <w:tcW w:w="4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July 31, 2019</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71,813,095</w:t>
            </w:r>
          </w:p>
        </w:tc>
        <w:tc>
          <w:tcPr>
            <w:tcW w:w="2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w:t>
            </w:r>
          </w:p>
        </w:tc>
        <w:tc>
          <w:tcPr>
            <w:tcW w:w="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5,701,435</w:t>
            </w:r>
          </w:p>
        </w:tc>
        <w:tc>
          <w:tcPr>
            <w:tcW w:w="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76"/>
              </w:rPr>
              <w:t>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198,720</w:t>
            </w:r>
          </w:p>
        </w:tc>
        <w:tc>
          <w:tcPr>
            <w:tcW w:w="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428</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(105,251)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93,936</w:t>
            </w:r>
          </w:p>
        </w:tc>
      </w:tr>
      <w:tr>
        <w:trPr>
          <w:trHeight w:val="20"/>
        </w:trPr>
        <w:tc>
          <w:tcPr>
            <w:tcW w:w="4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4"/>
                <w:szCs w:val="14"/>
                <w:b w:val="1"/>
                <w:bCs w:val="1"/>
                <w:color w:val="auto"/>
                <w:w w:val="93"/>
              </w:rPr>
              <w:t>Three Months Ended July 31, 2020</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3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left="428"/>
              <w:spacing w:after="0" w:line="129" w:lineRule="exact"/>
              <w:rPr>
                <w:sz w:val="20"/>
                <w:szCs w:val="20"/>
                <w:color w:val="auto"/>
              </w:rPr>
            </w:pPr>
            <w:r>
              <w:rPr>
                <w:rFonts w:ascii="Arial" w:cs="Arial" w:eastAsia="Arial" w:hAnsi="Arial"/>
                <w:sz w:val="14"/>
                <w:szCs w:val="14"/>
                <w:color w:val="auto"/>
              </w:rPr>
              <w:t>Voting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ind w:left="320"/>
              <w:spacing w:after="0" w:line="129" w:lineRule="exact"/>
              <w:rPr>
                <w:sz w:val="20"/>
                <w:szCs w:val="20"/>
                <w:color w:val="auto"/>
              </w:rPr>
            </w:pPr>
            <w:r>
              <w:rPr>
                <w:rFonts w:ascii="Arial" w:cs="Arial" w:eastAsia="Arial" w:hAnsi="Arial"/>
                <w:sz w:val="14"/>
                <w:szCs w:val="14"/>
                <w:color w:val="auto"/>
              </w:rPr>
              <w:t>Non-voting</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3060" w:type="dxa"/>
            <w:vAlign w:val="bottom"/>
          </w:tcPr>
          <w:p>
            <w:pPr>
              <w:spacing w:after="0"/>
              <w:rPr>
                <w:sz w:val="14"/>
                <w:szCs w:val="14"/>
                <w:color w:val="auto"/>
              </w:rPr>
            </w:pPr>
          </w:p>
        </w:tc>
        <w:tc>
          <w:tcPr>
            <w:tcW w:w="1400" w:type="dxa"/>
            <w:vAlign w:val="bottom"/>
            <w:gridSpan w:val="6"/>
          </w:tcPr>
          <w:p>
            <w:pPr>
              <w:ind w:left="200"/>
              <w:spacing w:after="0"/>
              <w:rPr>
                <w:sz w:val="20"/>
                <w:szCs w:val="20"/>
                <w:color w:val="auto"/>
              </w:rPr>
            </w:pPr>
            <w:r>
              <w:rPr>
                <w:rFonts w:ascii="Arial" w:cs="Arial" w:eastAsia="Arial" w:hAnsi="Arial"/>
                <w:sz w:val="14"/>
                <w:szCs w:val="14"/>
                <w:color w:val="auto"/>
              </w:rPr>
              <w:t>Common Stock</w:t>
            </w:r>
          </w:p>
        </w:tc>
        <w:tc>
          <w:tcPr>
            <w:tcW w:w="1160" w:type="dxa"/>
            <w:vAlign w:val="bottom"/>
            <w:gridSpan w:val="4"/>
          </w:tcPr>
          <w:p>
            <w:pPr>
              <w:jc w:val="center"/>
              <w:ind w:left="168"/>
              <w:spacing w:after="0"/>
              <w:rPr>
                <w:sz w:val="20"/>
                <w:szCs w:val="20"/>
                <w:color w:val="auto"/>
              </w:rPr>
            </w:pPr>
            <w:r>
              <w:rPr>
                <w:rFonts w:ascii="Arial" w:cs="Arial" w:eastAsia="Arial" w:hAnsi="Arial"/>
                <w:sz w:val="14"/>
                <w:szCs w:val="14"/>
                <w:color w:val="auto"/>
                <w:w w:val="91"/>
              </w:rPr>
              <w:t>Common Stock</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Paid-in</w:t>
            </w:r>
          </w:p>
        </w:tc>
        <w:tc>
          <w:tcPr>
            <w:tcW w:w="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60" w:type="dxa"/>
            <w:vAlign w:val="bottom"/>
          </w:tcPr>
          <w:p>
            <w:pPr>
              <w:spacing w:after="0"/>
              <w:rPr>
                <w:sz w:val="12"/>
                <w:szCs w:val="12"/>
                <w:color w:val="auto"/>
              </w:rPr>
            </w:pPr>
          </w:p>
        </w:tc>
        <w:tc>
          <w:tcPr>
            <w:tcW w:w="7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color w:val="auto"/>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color w:val="auto"/>
              </w:rPr>
              <w:t>Shares</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w w:val="91"/>
              </w:rPr>
              <w:t>Capital</w:t>
            </w:r>
          </w:p>
        </w:tc>
        <w:tc>
          <w:tcPr>
            <w:tcW w:w="60" w:type="dxa"/>
            <w:vAlign w:val="bottom"/>
          </w:tcPr>
          <w:p>
            <w:pPr>
              <w:spacing w:after="0"/>
              <w:rPr>
                <w:sz w:val="12"/>
                <w:szCs w:val="12"/>
                <w:color w:val="auto"/>
              </w:rPr>
            </w:pPr>
          </w:p>
        </w:tc>
        <w:tc>
          <w:tcPr>
            <w:tcW w:w="10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Income (Loss)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Deficit</w:t>
            </w:r>
          </w:p>
        </w:tc>
        <w:tc>
          <w:tcPr>
            <w:tcW w:w="6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Total</w:t>
            </w:r>
          </w:p>
        </w:tc>
      </w:tr>
      <w:tr>
        <w:trPr>
          <w:trHeight w:val="142"/>
        </w:trPr>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April 30, 2020</w:t>
            </w:r>
          </w:p>
        </w:tc>
        <w:tc>
          <w:tcPr>
            <w:tcW w:w="68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75,651,808</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5,931,319</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289,624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w w:val="73"/>
              </w:rPr>
              <w:t>(187)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(125,580)</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$163,898</w:t>
            </w: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3060" w:type="dxa"/>
            <w:vAlign w:val="bottom"/>
          </w:tcPr>
          <w:p>
            <w:pPr>
              <w:ind w:left="280"/>
              <w:spacing w:after="0" w:line="130" w:lineRule="exact"/>
              <w:rPr>
                <w:sz w:val="20"/>
                <w:szCs w:val="20"/>
                <w:color w:val="auto"/>
              </w:rPr>
            </w:pPr>
            <w:r>
              <w:rPr>
                <w:rFonts w:ascii="Arial" w:cs="Arial" w:eastAsia="Arial" w:hAnsi="Arial"/>
                <w:sz w:val="14"/>
                <w:szCs w:val="14"/>
                <w:color w:val="auto"/>
                <w:w w:val="98"/>
              </w:rPr>
              <w:t>Issuance of common stock in connection with</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initial public offering, net of underwriting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60" w:type="dxa"/>
            <w:vAlign w:val="bottom"/>
          </w:tcPr>
          <w:p>
            <w:pPr>
              <w:ind w:left="420"/>
              <w:spacing w:after="0"/>
              <w:rPr>
                <w:sz w:val="20"/>
                <w:szCs w:val="20"/>
                <w:color w:val="auto"/>
              </w:rPr>
            </w:pPr>
            <w:r>
              <w:rPr>
                <w:rFonts w:ascii="Arial" w:cs="Arial" w:eastAsia="Arial" w:hAnsi="Arial"/>
                <w:sz w:val="14"/>
                <w:szCs w:val="14"/>
                <w:color w:val="auto"/>
              </w:rPr>
              <w:t>discounts and commissions</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9,269,000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268,370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268,375</w:t>
            </w:r>
          </w:p>
        </w:tc>
      </w:tr>
      <w:tr>
        <w:trPr>
          <w:trHeight w:val="148"/>
        </w:trPr>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9"/>
              </w:rPr>
              <w:t>Costs in connection with initial public offering</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(4,534)</w:t>
            </w:r>
          </w:p>
        </w:tc>
      </w:tr>
      <w:tr>
        <w:trPr>
          <w:trHeight w:val="148"/>
        </w:trPr>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269,729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739</w:t>
            </w:r>
          </w:p>
        </w:tc>
      </w:tr>
      <w:tr>
        <w:trPr>
          <w:trHeight w:val="130"/>
        </w:trPr>
        <w:tc>
          <w:tcPr>
            <w:tcW w:w="3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Reclassification of voting and non-voting</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common stock</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81,852,856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(75,921,537)</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(5,931,319)</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48"/>
        </w:trPr>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13,269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13,269</w:t>
            </w:r>
          </w:p>
        </w:tc>
      </w:tr>
      <w:tr>
        <w:trPr>
          <w:trHeight w:val="148"/>
        </w:trPr>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389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w:t>
            </w:r>
          </w:p>
        </w:tc>
      </w:tr>
      <w:tr>
        <w:trPr>
          <w:trHeight w:val="130"/>
        </w:trPr>
        <w:tc>
          <w:tcPr>
            <w:tcW w:w="3060" w:type="dxa"/>
            <w:vAlign w:val="bottom"/>
          </w:tcPr>
          <w:p>
            <w:pPr>
              <w:ind w:left="280"/>
              <w:spacing w:after="0" w:line="130" w:lineRule="exact"/>
              <w:rPr>
                <w:sz w:val="20"/>
                <w:szCs w:val="20"/>
                <w:color w:val="auto"/>
              </w:rPr>
            </w:pPr>
            <w:r>
              <w:rPr>
                <w:rFonts w:ascii="Arial" w:cs="Arial" w:eastAsia="Arial" w:hAnsi="Arial"/>
                <w:sz w:val="14"/>
                <w:szCs w:val="14"/>
                <w:color w:val="auto"/>
              </w:rPr>
              <w:t>Net loss attributable to nCino, Inc., including</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adjustment to redeemable non-controlling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60" w:type="dxa"/>
            <w:vAlign w:val="bottom"/>
          </w:tcPr>
          <w:p>
            <w:pPr>
              <w:ind w:left="420"/>
              <w:spacing w:after="0"/>
              <w:rPr>
                <w:sz w:val="20"/>
                <w:szCs w:val="20"/>
                <w:color w:val="auto"/>
              </w:rPr>
            </w:pPr>
            <w:r>
              <w:rPr>
                <w:rFonts w:ascii="Arial" w:cs="Arial" w:eastAsia="Arial" w:hAnsi="Arial"/>
                <w:sz w:val="14"/>
                <w:szCs w:val="14"/>
                <w:color w:val="auto"/>
              </w:rPr>
              <w:t>interest</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(154)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(14,492)</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(14,646)</w:t>
            </w:r>
          </w:p>
        </w:tc>
      </w:tr>
      <w:tr>
        <w:trPr>
          <w:trHeight w:val="27"/>
        </w:trPr>
        <w:tc>
          <w:tcPr>
            <w:tcW w:w="3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July 31, 2020</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91,122,356</w:t>
            </w:r>
          </w:p>
        </w:tc>
        <w:tc>
          <w:tcPr>
            <w:tcW w:w="24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567,314</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202</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(140,072)</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427,490</w:t>
            </w:r>
          </w:p>
        </w:tc>
      </w:tr>
      <w:tr>
        <w:trPr>
          <w:trHeight w:val="20"/>
        </w:trPr>
        <w:tc>
          <w:tcPr>
            <w:tcW w:w="3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Six Months Ended July 31, 2019</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4460" w:type="dxa"/>
            <w:vAlign w:val="bottom"/>
          </w:tcPr>
          <w:p>
            <w:pPr>
              <w:spacing w:after="0"/>
              <w:rPr>
                <w:sz w:val="11"/>
                <w:szCs w:val="11"/>
                <w:color w:val="auto"/>
              </w:rPr>
            </w:pPr>
          </w:p>
        </w:tc>
        <w:tc>
          <w:tcPr>
            <w:tcW w:w="920" w:type="dxa"/>
            <w:vAlign w:val="bottom"/>
            <w:gridSpan w:val="3"/>
          </w:tcPr>
          <w:p>
            <w:pPr>
              <w:ind w:left="500"/>
              <w:spacing w:after="0" w:line="129" w:lineRule="exact"/>
              <w:rPr>
                <w:sz w:val="20"/>
                <w:szCs w:val="20"/>
                <w:color w:val="auto"/>
              </w:rPr>
            </w:pPr>
            <w:r>
              <w:rPr>
                <w:rFonts w:ascii="Arial" w:cs="Arial" w:eastAsia="Arial" w:hAnsi="Arial"/>
                <w:sz w:val="14"/>
                <w:szCs w:val="14"/>
                <w:color w:val="auto"/>
              </w:rPr>
              <w:t>Voting</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tcPr>
          <w:p>
            <w:pPr>
              <w:ind w:left="320"/>
              <w:spacing w:after="0" w:line="129" w:lineRule="exact"/>
              <w:rPr>
                <w:sz w:val="20"/>
                <w:szCs w:val="20"/>
                <w:color w:val="auto"/>
              </w:rPr>
            </w:pPr>
            <w:r>
              <w:rPr>
                <w:rFonts w:ascii="Arial" w:cs="Arial" w:eastAsia="Arial" w:hAnsi="Arial"/>
                <w:sz w:val="14"/>
                <w:szCs w:val="14"/>
                <w:color w:val="auto"/>
              </w:rPr>
              <w:t>Non-voting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1"/>
                <w:szCs w:val="11"/>
                <w:color w:val="auto"/>
              </w:rPr>
            </w:pPr>
          </w:p>
        </w:tc>
        <w:tc>
          <w:tcPr>
            <w:tcW w:w="660" w:type="dxa"/>
            <w:vAlign w:val="bottom"/>
          </w:tcPr>
          <w:p>
            <w:pPr>
              <w:jc w:val="center"/>
              <w:ind w:left="188"/>
              <w:spacing w:after="0" w:line="12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4460" w:type="dxa"/>
            <w:vAlign w:val="bottom"/>
          </w:tcPr>
          <w:p>
            <w:pPr>
              <w:spacing w:after="0"/>
              <w:rPr>
                <w:sz w:val="14"/>
                <w:szCs w:val="14"/>
                <w:color w:val="auto"/>
              </w:rPr>
            </w:pPr>
          </w:p>
        </w:tc>
        <w:tc>
          <w:tcPr>
            <w:tcW w:w="11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color w:val="auto"/>
                <w:w w:val="91"/>
              </w:rPr>
              <w:t>Common Stock</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Common Stock</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920" w:type="dxa"/>
            <w:vAlign w:val="bottom"/>
            <w:gridSpan w:val="3"/>
          </w:tcPr>
          <w:p>
            <w:pPr>
              <w:ind w:left="180"/>
              <w:spacing w:after="0" w:line="142" w:lineRule="exact"/>
              <w:rPr>
                <w:sz w:val="20"/>
                <w:szCs w:val="20"/>
                <w:color w:val="auto"/>
              </w:rPr>
            </w:pPr>
            <w:r>
              <w:rPr>
                <w:rFonts w:ascii="Arial" w:cs="Arial" w:eastAsia="Arial" w:hAnsi="Arial"/>
                <w:sz w:val="14"/>
                <w:szCs w:val="14"/>
                <w:color w:val="auto"/>
              </w:rPr>
              <w:t>Shares</w:t>
            </w: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8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2"/>
                <w:szCs w:val="12"/>
                <w:color w:val="auto"/>
              </w:rPr>
            </w:pPr>
          </w:p>
        </w:tc>
        <w:tc>
          <w:tcPr>
            <w:tcW w:w="1020" w:type="dxa"/>
            <w:vAlign w:val="bottom"/>
            <w:gridSpan w:val="3"/>
          </w:tcPr>
          <w:p>
            <w:pPr>
              <w:jc w:val="center"/>
              <w:ind w:right="100"/>
              <w:spacing w:after="0" w:line="142" w:lineRule="exact"/>
              <w:rPr>
                <w:sz w:val="20"/>
                <w:szCs w:val="20"/>
                <w:color w:val="auto"/>
              </w:rPr>
            </w:pPr>
            <w:r>
              <w:rPr>
                <w:rFonts w:ascii="Arial" w:cs="Arial" w:eastAsia="Arial" w:hAnsi="Arial"/>
                <w:sz w:val="14"/>
                <w:szCs w:val="14"/>
                <w:color w:val="auto"/>
                <w:w w:val="94"/>
              </w:rPr>
              <w:t>Income (Loss)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19"/>
              <w:spacing w:after="0" w:line="142" w:lineRule="exact"/>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w w:val="96"/>
              </w:rPr>
              <w:t>Total</w:t>
            </w:r>
          </w:p>
        </w:tc>
      </w:tr>
      <w:tr>
        <w:trPr>
          <w:trHeight w:val="142"/>
        </w:trPr>
        <w:tc>
          <w:tcPr>
            <w:tcW w:w="4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January 31, 2019</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70,186,189</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86"/>
              </w:rPr>
              <w:t>5,701,435</w:t>
            </w:r>
          </w:p>
        </w:tc>
        <w:tc>
          <w:tcPr>
            <w:tcW w:w="1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6"/>
              </w:rPr>
              <w:t>170,771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w w:val="74"/>
              </w:rPr>
              <w:t>(21)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(104,752)</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66,036</w:t>
            </w: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4460" w:type="dxa"/>
            <w:vAlign w:val="bottom"/>
          </w:tcPr>
          <w:p>
            <w:pPr>
              <w:ind w:left="280"/>
              <w:spacing w:after="0"/>
              <w:rPr>
                <w:sz w:val="20"/>
                <w:szCs w:val="20"/>
                <w:color w:val="auto"/>
              </w:rPr>
            </w:pPr>
            <w:r>
              <w:rPr>
                <w:rFonts w:ascii="Arial" w:cs="Arial" w:eastAsia="Arial" w:hAnsi="Arial"/>
                <w:sz w:val="14"/>
                <w:szCs w:val="14"/>
                <w:color w:val="auto"/>
                <w:w w:val="99"/>
              </w:rPr>
              <w:t>Cumulative-effect adjustment from adoption of accounting standard</w:t>
            </w:r>
          </w:p>
        </w:tc>
        <w:tc>
          <w:tcPr>
            <w:tcW w:w="9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4"/>
                <w:szCs w:val="14"/>
                <w:color w:val="auto"/>
              </w:rPr>
              <w:t>11,422</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11,422</w:t>
            </w:r>
          </w:p>
        </w:tc>
      </w:tr>
      <w:tr>
        <w:trPr>
          <w:trHeight w:val="148"/>
        </w:trPr>
        <w:tc>
          <w:tcPr>
            <w:tcW w:w="4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 issuance related to business combinations</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1,438,805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23,811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23,812</w:t>
            </w:r>
          </w:p>
        </w:tc>
      </w:tr>
      <w:tr>
        <w:trPr>
          <w:trHeight w:val="148"/>
        </w:trPr>
        <w:tc>
          <w:tcPr>
            <w:tcW w:w="446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9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188,101</w:t>
            </w:r>
          </w:p>
        </w:tc>
        <w:tc>
          <w:tcPr>
            <w:tcW w:w="240" w:type="dxa"/>
            <w:vAlign w:val="bottom"/>
          </w:tcPr>
          <w:p>
            <w:pPr>
              <w:spacing w:after="0"/>
              <w:rPr>
                <w:sz w:val="12"/>
                <w:szCs w:val="12"/>
                <w:color w:val="auto"/>
              </w:rPr>
            </w:pPr>
          </w:p>
        </w:tc>
        <w:tc>
          <w:tcPr>
            <w:tcW w:w="4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537</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537</w:t>
            </w:r>
          </w:p>
        </w:tc>
      </w:tr>
      <w:tr>
        <w:trPr>
          <w:trHeight w:val="148"/>
        </w:trPr>
        <w:tc>
          <w:tcPr>
            <w:tcW w:w="4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3,601</w:t>
            </w:r>
          </w:p>
        </w:tc>
      </w:tr>
      <w:tr>
        <w:trPr>
          <w:trHeight w:val="148"/>
        </w:trPr>
        <w:tc>
          <w:tcPr>
            <w:tcW w:w="446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92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449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449</w:t>
            </w:r>
          </w:p>
        </w:tc>
      </w:tr>
      <w:tr>
        <w:trPr>
          <w:trHeight w:val="149"/>
        </w:trPr>
        <w:tc>
          <w:tcPr>
            <w:tcW w:w="4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 attributable to nCino, Inc.</w:t>
            </w:r>
          </w:p>
        </w:tc>
        <w:tc>
          <w:tcPr>
            <w:tcW w:w="92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(11,921)</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(11,921)</w:t>
            </w:r>
          </w:p>
        </w:tc>
      </w:tr>
      <w:tr>
        <w:trPr>
          <w:trHeight w:val="155"/>
        </w:trPr>
        <w:tc>
          <w:tcPr>
            <w:tcW w:w="4460" w:type="dxa"/>
            <w:vAlign w:val="bottom"/>
          </w:tcPr>
          <w:p>
            <w:pPr>
              <w:spacing w:after="0" w:line="155" w:lineRule="exact"/>
              <w:rPr>
                <w:sz w:val="20"/>
                <w:szCs w:val="20"/>
                <w:color w:val="auto"/>
              </w:rPr>
            </w:pPr>
            <w:r>
              <w:rPr>
                <w:rFonts w:ascii="Arial" w:cs="Arial" w:eastAsia="Arial" w:hAnsi="Arial"/>
                <w:sz w:val="14"/>
                <w:szCs w:val="14"/>
                <w:color w:val="auto"/>
              </w:rPr>
              <w:t>Balance, July 31, 2019</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71,813,095</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86"/>
              </w:rPr>
              <w:t>5,701,435</w:t>
            </w:r>
          </w:p>
        </w:tc>
        <w:tc>
          <w:tcPr>
            <w:tcW w:w="18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3</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86"/>
              </w:rPr>
              <w:t>198,720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76"/>
              </w:rPr>
              <w:t>428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(105,251</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93,936</w:t>
            </w:r>
          </w:p>
        </w:tc>
        <w:tc>
          <w:tcPr>
            <w:tcW w:w="100" w:type="dxa"/>
            <w:vAlign w:val="bottom"/>
          </w:tcPr>
          <w:p>
            <w:pPr>
              <w:spacing w:after="0"/>
              <w:rPr>
                <w:sz w:val="13"/>
                <w:szCs w:val="13"/>
                <w:color w:val="auto"/>
              </w:rPr>
            </w:pPr>
          </w:p>
        </w:tc>
      </w:tr>
      <w:tr>
        <w:trPr>
          <w:trHeight w:val="20"/>
        </w:trPr>
        <w:tc>
          <w:tcPr>
            <w:tcW w:w="4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4"/>
                <w:szCs w:val="14"/>
                <w:b w:val="1"/>
                <w:bCs w:val="1"/>
                <w:color w:val="auto"/>
                <w:w w:val="94"/>
              </w:rPr>
              <w:t>Six Months Ended July 31, 2020</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3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left="428"/>
              <w:spacing w:after="0" w:line="129" w:lineRule="exact"/>
              <w:rPr>
                <w:sz w:val="20"/>
                <w:szCs w:val="20"/>
                <w:color w:val="auto"/>
              </w:rPr>
            </w:pPr>
            <w:r>
              <w:rPr>
                <w:rFonts w:ascii="Arial" w:cs="Arial" w:eastAsia="Arial" w:hAnsi="Arial"/>
                <w:sz w:val="14"/>
                <w:szCs w:val="14"/>
                <w:color w:val="auto"/>
              </w:rPr>
              <w:t>Voting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320"/>
              <w:spacing w:after="0" w:line="129" w:lineRule="exact"/>
              <w:rPr>
                <w:sz w:val="20"/>
                <w:szCs w:val="20"/>
                <w:color w:val="auto"/>
              </w:rPr>
            </w:pPr>
            <w:r>
              <w:rPr>
                <w:rFonts w:ascii="Arial" w:cs="Arial" w:eastAsia="Arial" w:hAnsi="Arial"/>
                <w:sz w:val="14"/>
                <w:szCs w:val="14"/>
                <w:color w:val="auto"/>
              </w:rPr>
              <w:t>Non-voting</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3060" w:type="dxa"/>
            <w:vAlign w:val="bottom"/>
          </w:tcPr>
          <w:p>
            <w:pPr>
              <w:spacing w:after="0"/>
              <w:rPr>
                <w:sz w:val="14"/>
                <w:szCs w:val="14"/>
                <w:color w:val="auto"/>
              </w:rPr>
            </w:pPr>
          </w:p>
        </w:tc>
        <w:tc>
          <w:tcPr>
            <w:tcW w:w="1400" w:type="dxa"/>
            <w:vAlign w:val="bottom"/>
            <w:gridSpan w:val="6"/>
          </w:tcPr>
          <w:p>
            <w:pPr>
              <w:ind w:left="200"/>
              <w:spacing w:after="0"/>
              <w:rPr>
                <w:sz w:val="20"/>
                <w:szCs w:val="20"/>
                <w:color w:val="auto"/>
              </w:rPr>
            </w:pPr>
            <w:r>
              <w:rPr>
                <w:rFonts w:ascii="Arial" w:cs="Arial" w:eastAsia="Arial" w:hAnsi="Arial"/>
                <w:sz w:val="14"/>
                <w:szCs w:val="14"/>
                <w:color w:val="auto"/>
              </w:rPr>
              <w:t>Common Stock</w:t>
            </w:r>
          </w:p>
        </w:tc>
        <w:tc>
          <w:tcPr>
            <w:tcW w:w="1160" w:type="dxa"/>
            <w:vAlign w:val="bottom"/>
            <w:gridSpan w:val="4"/>
          </w:tcPr>
          <w:p>
            <w:pPr>
              <w:jc w:val="center"/>
              <w:ind w:left="168"/>
              <w:spacing w:after="0"/>
              <w:rPr>
                <w:sz w:val="20"/>
                <w:szCs w:val="20"/>
                <w:color w:val="auto"/>
              </w:rPr>
            </w:pPr>
            <w:r>
              <w:rPr>
                <w:rFonts w:ascii="Arial" w:cs="Arial" w:eastAsia="Arial" w:hAnsi="Arial"/>
                <w:sz w:val="14"/>
                <w:szCs w:val="14"/>
                <w:color w:val="auto"/>
                <w:w w:val="91"/>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Paid-in</w:t>
            </w:r>
          </w:p>
        </w:tc>
        <w:tc>
          <w:tcPr>
            <w:tcW w:w="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60" w:type="dxa"/>
            <w:vAlign w:val="bottom"/>
          </w:tcPr>
          <w:p>
            <w:pPr>
              <w:spacing w:after="0"/>
              <w:rPr>
                <w:sz w:val="12"/>
                <w:szCs w:val="12"/>
                <w:color w:val="auto"/>
              </w:rPr>
            </w:pPr>
          </w:p>
        </w:tc>
        <w:tc>
          <w:tcPr>
            <w:tcW w:w="7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color w:val="auto"/>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color w:val="auto"/>
              </w:rPr>
              <w:t>Shares</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w w:val="91"/>
              </w:rPr>
              <w:t>Capital</w:t>
            </w:r>
          </w:p>
        </w:tc>
        <w:tc>
          <w:tcPr>
            <w:tcW w:w="60" w:type="dxa"/>
            <w:vAlign w:val="bottom"/>
          </w:tcPr>
          <w:p>
            <w:pPr>
              <w:spacing w:after="0"/>
              <w:rPr>
                <w:sz w:val="12"/>
                <w:szCs w:val="12"/>
                <w:color w:val="auto"/>
              </w:rPr>
            </w:pPr>
          </w:p>
        </w:tc>
        <w:tc>
          <w:tcPr>
            <w:tcW w:w="10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Income (Loss)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Deficit</w:t>
            </w:r>
          </w:p>
        </w:tc>
        <w:tc>
          <w:tcPr>
            <w:tcW w:w="6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Total</w:t>
            </w:r>
          </w:p>
        </w:tc>
      </w:tr>
      <w:tr>
        <w:trPr>
          <w:trHeight w:val="142"/>
        </w:trPr>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January 31, 2020</w:t>
            </w:r>
          </w:p>
        </w:tc>
        <w:tc>
          <w:tcPr>
            <w:tcW w:w="68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75,596,007</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5,931,319</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288,564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w w:val="73"/>
              </w:rPr>
              <w:t>(408)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(120,924)</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$167,273</w:t>
            </w: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3060" w:type="dxa"/>
            <w:vAlign w:val="bottom"/>
          </w:tcPr>
          <w:p>
            <w:pPr>
              <w:ind w:left="280"/>
              <w:spacing w:after="0" w:line="130" w:lineRule="exact"/>
              <w:rPr>
                <w:sz w:val="20"/>
                <w:szCs w:val="20"/>
                <w:color w:val="auto"/>
              </w:rPr>
            </w:pPr>
            <w:r>
              <w:rPr>
                <w:rFonts w:ascii="Arial" w:cs="Arial" w:eastAsia="Arial" w:hAnsi="Arial"/>
                <w:sz w:val="14"/>
                <w:szCs w:val="14"/>
                <w:color w:val="auto"/>
                <w:w w:val="98"/>
              </w:rPr>
              <w:t>Issuance of common stock in connection with</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initial public offering, net of underwriting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60" w:type="dxa"/>
            <w:vAlign w:val="bottom"/>
          </w:tcPr>
          <w:p>
            <w:pPr>
              <w:ind w:left="420"/>
              <w:spacing w:after="0"/>
              <w:rPr>
                <w:sz w:val="20"/>
                <w:szCs w:val="20"/>
                <w:color w:val="auto"/>
              </w:rPr>
            </w:pPr>
            <w:r>
              <w:rPr>
                <w:rFonts w:ascii="Arial" w:cs="Arial" w:eastAsia="Arial" w:hAnsi="Arial"/>
                <w:sz w:val="14"/>
                <w:szCs w:val="14"/>
                <w:color w:val="auto"/>
              </w:rPr>
              <w:t>discounts and commissions</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9,269,000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268,370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268,375</w:t>
            </w:r>
          </w:p>
        </w:tc>
      </w:tr>
      <w:tr>
        <w:trPr>
          <w:trHeight w:val="148"/>
        </w:trPr>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9"/>
              </w:rPr>
              <w:t>Costs in connection with initial public offering</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(4,534)</w:t>
            </w:r>
          </w:p>
        </w:tc>
      </w:tr>
      <w:tr>
        <w:trPr>
          <w:trHeight w:val="149"/>
        </w:trPr>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325,530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861</w:t>
            </w:r>
          </w:p>
        </w:tc>
      </w:tr>
      <w:tr>
        <w:trPr>
          <w:trHeight w:val="130"/>
        </w:trPr>
        <w:tc>
          <w:tcPr>
            <w:tcW w:w="3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Reclassification of voting and non-voting</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common stock</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81,852,856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(75,921,537)</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(5,931,319)</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48"/>
        </w:trPr>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14,320</w:t>
            </w:r>
          </w:p>
        </w:tc>
      </w:tr>
      <w:tr>
        <w:trPr>
          <w:trHeight w:val="149"/>
        </w:trPr>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610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610</w:t>
            </w:r>
          </w:p>
        </w:tc>
      </w:tr>
      <w:tr>
        <w:trPr>
          <w:trHeight w:val="130"/>
        </w:trPr>
        <w:tc>
          <w:tcPr>
            <w:tcW w:w="3060" w:type="dxa"/>
            <w:vAlign w:val="bottom"/>
          </w:tcPr>
          <w:p>
            <w:pPr>
              <w:ind w:left="280"/>
              <w:spacing w:after="0" w:line="130" w:lineRule="exact"/>
              <w:rPr>
                <w:sz w:val="20"/>
                <w:szCs w:val="20"/>
                <w:color w:val="auto"/>
              </w:rPr>
            </w:pPr>
            <w:r>
              <w:rPr>
                <w:rFonts w:ascii="Arial" w:cs="Arial" w:eastAsia="Arial" w:hAnsi="Arial"/>
                <w:sz w:val="14"/>
                <w:szCs w:val="14"/>
                <w:color w:val="auto"/>
              </w:rPr>
              <w:t>Net loss attributable to nCino, Inc., including</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adjustment to redeemable non-controlling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60" w:type="dxa"/>
            <w:vAlign w:val="bottom"/>
          </w:tcPr>
          <w:p>
            <w:pPr>
              <w:ind w:left="420"/>
              <w:spacing w:after="0"/>
              <w:rPr>
                <w:sz w:val="20"/>
                <w:szCs w:val="20"/>
                <w:color w:val="auto"/>
              </w:rPr>
            </w:pPr>
            <w:r>
              <w:rPr>
                <w:rFonts w:ascii="Arial" w:cs="Arial" w:eastAsia="Arial" w:hAnsi="Arial"/>
                <w:sz w:val="14"/>
                <w:szCs w:val="14"/>
                <w:color w:val="auto"/>
              </w:rPr>
              <w:t>interest</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(267)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(19,148)</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(19,415)</w:t>
            </w:r>
          </w:p>
        </w:tc>
      </w:tr>
      <w:tr>
        <w:trPr>
          <w:trHeight w:val="27"/>
        </w:trPr>
        <w:tc>
          <w:tcPr>
            <w:tcW w:w="3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July 31, 2020</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91,122,356</w:t>
            </w:r>
          </w:p>
        </w:tc>
        <w:tc>
          <w:tcPr>
            <w:tcW w:w="24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567,314</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202</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(140,072)</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427,490</w:t>
            </w:r>
          </w:p>
        </w:tc>
      </w:tr>
      <w:tr>
        <w:trPr>
          <w:trHeight w:val="20"/>
        </w:trPr>
        <w:tc>
          <w:tcPr>
            <w:tcW w:w="3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9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431"/>
              <w:spacing w:after="0"/>
              <w:rPr>
                <w:sz w:val="20"/>
                <w:szCs w:val="20"/>
                <w:color w:val="auto"/>
              </w:rPr>
            </w:pPr>
            <w:r>
              <w:rPr>
                <w:rFonts w:ascii="Arial" w:cs="Arial" w:eastAsia="Arial" w:hAnsi="Arial"/>
                <w:sz w:val="14"/>
                <w:szCs w:val="14"/>
                <w:b w:val="1"/>
                <w:bCs w:val="1"/>
                <w:color w:val="auto"/>
                <w:w w:val="93"/>
              </w:rPr>
              <w:t>July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Net loss attributable to nCino, Inc.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(11,921)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(19,415)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and adjustment attributable to redeemable non-controlling interest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(11,921)</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costs capitalized to obtain revenue contracts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14,320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Provision for (recovery of) bad debt</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 related parties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9,201</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Costs capitalized to obtain revenue contracts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Accounts payable and accrued expenses and other liabilities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(2,085)</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related parties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18,173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33,188</w:t>
            </w:r>
          </w:p>
        </w:tc>
        <w:tc>
          <w:tcPr>
            <w:tcW w:w="0" w:type="dxa"/>
            <w:vAlign w:val="bottom"/>
          </w:tcPr>
          <w:p>
            <w:pPr>
              <w:spacing w:after="0"/>
              <w:rPr>
                <w:sz w:val="1"/>
                <w:szCs w:val="1"/>
                <w:color w:val="auto"/>
              </w:rPr>
            </w:pPr>
          </w:p>
        </w:tc>
      </w:tr>
      <w:tr>
        <w:trPr>
          <w:trHeight w:val="223"/>
        </w:trPr>
        <w:tc>
          <w:tcPr>
            <w:tcW w:w="9120" w:type="dxa"/>
            <w:vAlign w:val="bottom"/>
          </w:tcPr>
          <w:p>
            <w:pPr>
              <w:ind w:left="1080"/>
              <w:spacing w:after="0"/>
              <w:rPr>
                <w:sz w:val="20"/>
                <w:szCs w:val="20"/>
                <w:color w:val="auto"/>
              </w:rPr>
            </w:pPr>
            <w:r>
              <w:rPr>
                <w:rFonts w:ascii="Arial" w:cs="Arial" w:eastAsia="Arial" w:hAnsi="Arial"/>
                <w:sz w:val="18"/>
                <w:szCs w:val="18"/>
                <w:color w:val="auto"/>
              </w:rPr>
              <w:t>Deferred revenues, related parties</w:t>
            </w: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(3,783)</w:t>
            </w: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10,707</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of business, net of cash acquired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(48,219)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(50,843)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268,375</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Payments of costs related to initial public offering</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30"/>
        </w:trPr>
        <w:tc>
          <w:tcPr>
            <w:tcW w:w="9120" w:type="dxa"/>
            <w:vAlign w:val="bottom"/>
          </w:tcPr>
          <w:p>
            <w:pPr>
              <w:ind w:left="14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267,891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9120" w:type="dxa"/>
            <w:vAlign w:val="bottom"/>
          </w:tcPr>
          <w:p>
            <w:pPr>
              <w:ind w:left="14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(39,065)</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297,007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74,347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91,184</w:t>
            </w:r>
          </w:p>
        </w:tc>
        <w:tc>
          <w:tcPr>
            <w:tcW w:w="0" w:type="dxa"/>
            <w:vAlign w:val="bottom"/>
          </w:tcPr>
          <w:p>
            <w:pPr>
              <w:spacing w:after="0"/>
              <w:rPr>
                <w:sz w:val="1"/>
                <w:szCs w:val="1"/>
                <w:color w:val="auto"/>
              </w:rPr>
            </w:pPr>
          </w:p>
        </w:tc>
      </w:tr>
      <w:tr>
        <w:trPr>
          <w:trHeight w:val="236"/>
        </w:trPr>
        <w:tc>
          <w:tcPr>
            <w:tcW w:w="9120" w:type="dxa"/>
            <w:vAlign w:val="bottom"/>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35,282</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388,191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Cash paid during the year for taxes, net of refunds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Purchase of property and equipment, accrued but not paid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value of common stock issued as consideration for business acquisition</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23,812</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vMerge w:val="restart"/>
          </w:tcPr>
          <w:p>
            <w:pPr>
              <w:ind w:left="720"/>
              <w:spacing w:after="0"/>
              <w:rPr>
                <w:sz w:val="20"/>
                <w:szCs w:val="20"/>
                <w:color w:val="auto"/>
              </w:rPr>
            </w:pPr>
            <w:r>
              <w:rPr>
                <w:rFonts w:ascii="Arial" w:cs="Arial" w:eastAsia="Arial" w:hAnsi="Arial"/>
                <w:sz w:val="18"/>
                <w:szCs w:val="18"/>
                <w:color w:val="auto"/>
              </w:rPr>
              <w:t>Costs related to initial public offering, accrued but not paid</w:t>
            </w: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Costs related to initial public offering, reclassified from other long term assets to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117"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7"/>
          <w:szCs w:val="17"/>
          <w:b w:val="1"/>
          <w:bCs w:val="1"/>
          <w:color w:val="auto"/>
        </w:rPr>
        <w:t xml:space="preserve">Description of Business: </w:t>
      </w:r>
      <w:r>
        <w:rPr>
          <w:rFonts w:ascii="Arial" w:cs="Arial" w:eastAsia="Arial" w:hAnsi="Arial"/>
          <w:sz w:val="17"/>
          <w:szCs w:val="17"/>
          <w:color w:val="auto"/>
        </w:rPr>
        <w:t>nCino, Inc. is a software-as-a-service (SaaS) company that provides software applications to financial institutions</w:t>
      </w:r>
      <w:r>
        <w:rPr>
          <w:rFonts w:ascii="Arial" w:cs="Arial" w:eastAsia="Arial" w:hAnsi="Arial"/>
          <w:sz w:val="17"/>
          <w:szCs w:val="17"/>
          <w:b w:val="1"/>
          <w:bCs w:val="1"/>
          <w:color w:val="auto"/>
        </w:rPr>
        <w:t xml:space="preserve"> </w:t>
      </w:r>
      <w:r>
        <w:rPr>
          <w:rFonts w:ascii="Arial" w:cs="Arial" w:eastAsia="Arial" w:hAnsi="Arial"/>
          <w:sz w:val="17"/>
          <w:szCs w:val="17"/>
          <w:color w:val="auto"/>
        </w:rPr>
        <w:t>to streamline employee and client interactions. The Company is headquartered in Wilmington, North Carolina and has offices in Salt Lake City, Utah; London, United Kingdom; Sydney, Australia; Melbourne, Australia; Toronto, Canada; and Tokyo, Japan.</w:t>
      </w:r>
    </w:p>
    <w:p>
      <w:pPr>
        <w:spacing w:after="0" w:line="15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b w:val="1"/>
          <w:bCs w:val="1"/>
          <w:color w:val="auto"/>
        </w:rPr>
        <w:t xml:space="preserve">Initial Public Offering: </w:t>
      </w:r>
      <w:r>
        <w:rPr>
          <w:rFonts w:ascii="Arial" w:cs="Arial" w:eastAsia="Arial" w:hAnsi="Arial"/>
          <w:sz w:val="17"/>
          <w:szCs w:val="17"/>
          <w:color w:val="auto"/>
        </w:rPr>
        <w:t>On July 13, 2020, the Company’s Registration Statement on Form S-1 relating to the initial public offering (“IPO”)</w:t>
      </w:r>
      <w:r>
        <w:rPr>
          <w:rFonts w:ascii="Arial" w:cs="Arial" w:eastAsia="Arial" w:hAnsi="Arial"/>
          <w:sz w:val="17"/>
          <w:szCs w:val="17"/>
          <w:b w:val="1"/>
          <w:bCs w:val="1"/>
          <w:color w:val="auto"/>
        </w:rPr>
        <w:t xml:space="preserve"> </w:t>
      </w:r>
      <w:r>
        <w:rPr>
          <w:rFonts w:ascii="Arial" w:cs="Arial" w:eastAsia="Arial" w:hAnsi="Arial"/>
          <w:sz w:val="17"/>
          <w:szCs w:val="17"/>
          <w:color w:val="auto"/>
        </w:rPr>
        <w:t>of its common stock was declared effective by the Securities and Exchange Commission (“SEC”). Prior to the closing of the IPO, the Company’s certificate of incorporation was amended such that all outstanding shares of voting common stock and non-voting common stock were reclassified into a single class of stock designated as common stock which has one vote per share. In addition, effective upon the closing of the IPO, the Company’s certificate of incorporation was amended and restated such that the total number of shares of common stock authorized to issue, par value $0.0005, was increased to 500,000,000 shares and the total number of shares of preferred stock, par value $0.001, was increased to 10,000,000 shares. In connection with the IPO, the Company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 (excluding other IPO costs as of July 31, 2020).</w:t>
      </w:r>
    </w:p>
    <w:p>
      <w:pPr>
        <w:spacing w:after="0" w:line="178"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color w:val="auto"/>
        </w:rPr>
        <w:t>Prior to the IPO, deferred offering costs, which consist of legal, accounting, consulting and other direct fees and costs relating to the IPO, were capitalized in other long-term assets. Upon consummation of the IPO, these costs were offset against the proceeds from the IPO and recorded in additional paid-in capital.</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left="120" w:right="120" w:firstLine="881"/>
        <w:spacing w:after="0" w:line="289" w:lineRule="auto"/>
        <w:rPr>
          <w:sz w:val="20"/>
          <w:szCs w:val="20"/>
          <w:color w:val="auto"/>
        </w:rPr>
      </w:pPr>
      <w:r>
        <w:rPr>
          <w:rFonts w:ascii="Arial" w:cs="Arial" w:eastAsia="Arial" w:hAnsi="Arial"/>
          <w:sz w:val="16"/>
          <w:szCs w:val="16"/>
          <w:b w:val="1"/>
          <w:bCs w:val="1"/>
          <w:color w:val="auto"/>
        </w:rPr>
        <w:t xml:space="preserve">Principles of Consolidation and Basis of Presentation: </w:t>
      </w:r>
      <w:r>
        <w:rPr>
          <w:rFonts w:ascii="Arial" w:cs="Arial" w:eastAsia="Arial" w:hAnsi="Arial"/>
          <w:sz w:val="16"/>
          <w:szCs w:val="16"/>
          <w:color w:val="auto"/>
        </w:rPr>
        <w:t>The accompanying unaudited condensed consolidated financial statements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prepared in accordance with generally accepted accounting principles in the United States of America (“GAAP”) as set forth in the Financial Accounting Standards Board (“FASB”) Accounting Standards Codification (“ASC”) and applicable rules and regulations of the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for the Company’s audited January 31, 2020 consolidated financial statements contained in the Company’s final prospectus for its IPO dated as of July 13, 2020 and filed with the SEC pursuant to Rule 424(b)(4) on July 14, 2020. The unaudited condensed consolidated financial statements include accounts of the Company’s wholly-owned subsidiaries, as well as a variable interest entity in which the Company is the primary beneficiary. All intercompany accounts and transactions are eliminated. Refer to the variable interest entity section below and Note 3 for additional information regarding the Company’s variable interest entity.</w:t>
      </w:r>
    </w:p>
    <w:p>
      <w:pPr>
        <w:spacing w:after="0" w:line="16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240" w:firstLine="881"/>
        <w:spacing w:after="0" w:line="286"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year 2021 or any future period.</w:t>
      </w:r>
    </w:p>
    <w:p>
      <w:pPr>
        <w:spacing w:after="0" w:line="16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b w:val="1"/>
          <w:bCs w:val="1"/>
          <w:color w:val="auto"/>
        </w:rPr>
        <w:t xml:space="preserve">Variable Interest Entity: </w:t>
      </w:r>
      <w:r>
        <w:rPr>
          <w:rFonts w:ascii="Arial" w:cs="Arial" w:eastAsia="Arial" w:hAnsi="Arial"/>
          <w:sz w:val="16"/>
          <w:szCs w:val="16"/>
          <w:color w:val="auto"/>
        </w:rPr>
        <w:t>The Company holds an interest in a Japanese company (“nCino K.K.”) that is considered a variable interest entity</w:t>
      </w:r>
      <w:r>
        <w:rPr>
          <w:rFonts w:ascii="Arial" w:cs="Arial" w:eastAsia="Arial" w:hAnsi="Arial"/>
          <w:sz w:val="16"/>
          <w:szCs w:val="16"/>
          <w:b w:val="1"/>
          <w:bCs w:val="1"/>
          <w:color w:val="auto"/>
        </w:rPr>
        <w:t xml:space="preserve"> </w:t>
      </w:r>
      <w:r>
        <w:rPr>
          <w:rFonts w:ascii="Arial" w:cs="Arial" w:eastAsia="Arial" w:hAnsi="Arial"/>
          <w:sz w:val="16"/>
          <w:szCs w:val="16"/>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Refer to Note 3 for additional information regarding the Company’s variable interest.</w:t>
      </w:r>
    </w:p>
    <w:p>
      <w:pPr>
        <w:spacing w:after="0" w:line="161"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b w:val="1"/>
          <w:bCs w:val="1"/>
          <w:color w:val="auto"/>
        </w:rPr>
        <w:t xml:space="preserve">Redeemable Non-Controlling Interest: </w:t>
      </w:r>
      <w:r>
        <w:rPr>
          <w:rFonts w:ascii="Arial" w:cs="Arial" w:eastAsia="Arial" w:hAnsi="Arial"/>
          <w:sz w:val="16"/>
          <w:szCs w:val="16"/>
          <w:color w:val="auto"/>
        </w:rPr>
        <w:t>Redeemable non-controlling interest relates to minority investors of nCino K.K. 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minority investors 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66" w:lineRule="exact"/>
        <w:rPr>
          <w:sz w:val="20"/>
          <w:szCs w:val="20"/>
          <w:color w:val="auto"/>
        </w:rPr>
      </w:pPr>
    </w:p>
    <w:p>
      <w:pPr>
        <w:ind w:left="120" w:right="180" w:firstLine="881"/>
        <w:spacing w:after="0" w:line="289"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unaudited condensed consolidated financial statements in conformity with GAAP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jc w:val="both"/>
        <w:ind w:left="120" w:right="380" w:firstLine="881"/>
        <w:spacing w:after="0" w:line="314" w:lineRule="auto"/>
        <w:rPr>
          <w:sz w:val="20"/>
          <w:szCs w:val="20"/>
          <w:color w:val="auto"/>
        </w:rPr>
      </w:pPr>
      <w:r>
        <w:rPr>
          <w:rFonts w:ascii="Arial" w:cs="Arial" w:eastAsia="Arial" w:hAnsi="Arial"/>
          <w:sz w:val="16"/>
          <w:szCs w:val="16"/>
          <w:b w:val="1"/>
          <w:bCs w:val="1"/>
          <w:color w:val="auto"/>
        </w:rPr>
        <w:t xml:space="preserve">Concentration of Credit Risk and Significant Customers: </w:t>
      </w:r>
      <w:r>
        <w:rPr>
          <w:rFonts w:ascii="Arial" w:cs="Arial" w:eastAsia="Arial" w:hAnsi="Arial"/>
          <w:sz w:val="16"/>
          <w:szCs w:val="16"/>
          <w:color w:val="auto"/>
        </w:rPr>
        <w:t>The Company’s financial instruments that are exposed to concentration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risk consist primarily of cash and cash equivalents. The Company’s cash and cash equivalents exceeded the Federal deposit insurance limit at January 31, 2020 and July 31, 2020. The Company maintains its cash and cash equivalents with high-credit-quality financial institutions.</w:t>
      </w:r>
    </w:p>
    <w:p>
      <w:pPr>
        <w:spacing w:after="0" w:line="146"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As of January 31, 2020, two customers represented 22% of accounts receivable, 11% of which was from a customer who is an equity holder. In the quarter ended July 31, 2020, the equity holder no longer qualifies as a related party of the Company and the amounts disclosed related to such equity holder are presented as a related party through April 30, 2020, only. As of July 31, 2020, one customer represented 12% of accounts receivable. For the three and six months ended July 31, 2019 and 2020, no individual customer represented more than 10% of the Company’s total revenues.</w:t>
      </w:r>
    </w:p>
    <w:p>
      <w:pPr>
        <w:spacing w:after="0" w:line="153" w:lineRule="exact"/>
        <w:rPr>
          <w:sz w:val="20"/>
          <w:szCs w:val="20"/>
          <w:color w:val="auto"/>
        </w:rPr>
      </w:pPr>
    </w:p>
    <w:p>
      <w:pPr>
        <w:ind w:left="120" w:right="60" w:firstLine="881"/>
        <w:spacing w:after="0" w:line="289"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w:t>
      </w:r>
      <w:r>
        <w:rPr>
          <w:rFonts w:ascii="Arial" w:cs="Arial" w:eastAsia="Arial" w:hAnsi="Arial"/>
          <w:sz w:val="16"/>
          <w:szCs w:val="16"/>
          <w:b w:val="1"/>
          <w:bCs w:val="1"/>
          <w:color w:val="auto"/>
        </w:rPr>
        <w:t xml:space="preserve"> </w:t>
      </w:r>
      <w:r>
        <w:rPr>
          <w:rFonts w:ascii="Arial" w:cs="Arial" w:eastAsia="Arial" w:hAnsi="Arial"/>
          <w:sz w:val="16"/>
          <w:szCs w:val="16"/>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70"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ind w:left="18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800" w:type="dxa"/>
            <w:vAlign w:val="bottom"/>
            <w:gridSpan w:val="6"/>
          </w:tcPr>
          <w:p>
            <w:pPr>
              <w:ind w:left="280"/>
              <w:spacing w:after="0"/>
              <w:rPr>
                <w:sz w:val="20"/>
                <w:szCs w:val="20"/>
                <w:color w:val="auto"/>
              </w:rPr>
            </w:pPr>
            <w:r>
              <w:rPr>
                <w:rFonts w:ascii="Arial" w:cs="Arial" w:eastAsia="Arial" w:hAnsi="Arial"/>
                <w:sz w:val="14"/>
                <w:szCs w:val="14"/>
                <w:color w:val="auto"/>
              </w:rPr>
              <w:t>Six Months Ended</w:t>
            </w:r>
          </w:p>
        </w:tc>
      </w:t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4"/>
                <w:szCs w:val="14"/>
                <w:color w:val="auto"/>
              </w:rPr>
              <w:t>July 31,</w:t>
            </w:r>
          </w:p>
        </w:tc>
        <w:tc>
          <w:tcPr>
            <w:tcW w:w="4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87"/>
              <w:spacing w:after="0"/>
              <w:rPr>
                <w:sz w:val="20"/>
                <w:szCs w:val="20"/>
                <w:color w:val="auto"/>
              </w:rPr>
            </w:pPr>
            <w:r>
              <w:rPr>
                <w:rFonts w:ascii="Arial" w:cs="Arial" w:eastAsia="Arial" w:hAnsi="Arial"/>
                <w:sz w:val="14"/>
                <w:szCs w:val="14"/>
                <w:color w:val="auto"/>
                <w:w w:val="95"/>
              </w:rPr>
              <w:t>July 31,</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2019</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89"/>
              </w:rPr>
              <w:t>2020</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w w:val="96"/>
              </w:rPr>
              <w:t>2019</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Charged to (recovery of) bad debt expense</w:t>
            </w:r>
          </w:p>
        </w:tc>
        <w:tc>
          <w:tcPr>
            <w:tcW w:w="12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w w:val="99"/>
              </w:rPr>
              <w:t>619</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Write off of uncollectible accounts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622</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2018-13,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(Topic 820): Disclosure Framework – Changes to the Disclosure Requirements for Fair Value Measurement, </w:t>
      </w:r>
      <w:r>
        <w:rPr>
          <w:rFonts w:ascii="Arial" w:cs="Arial" w:eastAsia="Arial" w:hAnsi="Arial"/>
          <w:sz w:val="18"/>
          <w:szCs w:val="18"/>
          <w:color w:val="auto"/>
        </w:rPr>
        <w:t>which eliminates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for fair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value measurements for all entities, requires public entities to disclose certain new information and modifies some disclosure requirements.</w:t>
      </w:r>
    </w:p>
    <w:p>
      <w:pPr>
        <w:spacing w:after="0" w:line="35"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adopted the standard effective February 1, 2020. The adoption of this standard did not have a material impact on the Company’s unaudited condensed consolidated financial statements.</w:t>
      </w:r>
    </w:p>
    <w:p>
      <w:pPr>
        <w:spacing w:after="0" w:line="193"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This standard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prospectively adopted the standard effective February 1, 2020. The adoption of this standard did not have a material impact on the Company’s unaudited condensed consolidated financial statements.</w:t>
      </w:r>
    </w:p>
    <w:p>
      <w:pPr>
        <w:spacing w:after="0" w:line="177" w:lineRule="exact"/>
        <w:rPr>
          <w:sz w:val="20"/>
          <w:szCs w:val="20"/>
          <w:color w:val="auto"/>
        </w:rPr>
      </w:pPr>
    </w:p>
    <w:p>
      <w:pPr>
        <w:ind w:left="120" w:right="260" w:firstLine="881"/>
        <w:spacing w:after="0" w:line="291" w:lineRule="auto"/>
        <w:rPr>
          <w:sz w:val="20"/>
          <w:szCs w:val="20"/>
          <w:color w:val="auto"/>
        </w:rPr>
      </w:pPr>
      <w:r>
        <w:rPr>
          <w:rFonts w:ascii="Arial" w:cs="Arial" w:eastAsia="Arial" w:hAnsi="Arial"/>
          <w:sz w:val="16"/>
          <w:szCs w:val="16"/>
          <w:color w:val="auto"/>
        </w:rPr>
        <w:t xml:space="preserve">In October 2018, the FASB issued ASU 2018-17, </w:t>
      </w:r>
      <w:r>
        <w:rPr>
          <w:rFonts w:ascii="Arial" w:cs="Arial" w:eastAsia="Arial" w:hAnsi="Arial"/>
          <w:sz w:val="16"/>
          <w:szCs w:val="16"/>
          <w:i w:val="1"/>
          <w:iCs w:val="1"/>
          <w:color w:val="auto"/>
        </w:rPr>
        <w:t>Consolidation (Topic 810), Targeted Improvements to Related Party Guidance for</w:t>
      </w:r>
      <w:r>
        <w:rPr>
          <w:rFonts w:ascii="Arial" w:cs="Arial" w:eastAsia="Arial" w:hAnsi="Arial"/>
          <w:sz w:val="16"/>
          <w:szCs w:val="16"/>
          <w:color w:val="auto"/>
        </w:rPr>
        <w:t xml:space="preserve"> </w:t>
      </w:r>
      <w:r>
        <w:rPr>
          <w:rFonts w:ascii="Arial" w:cs="Arial" w:eastAsia="Arial" w:hAnsi="Arial"/>
          <w:sz w:val="16"/>
          <w:szCs w:val="16"/>
          <w:i w:val="1"/>
          <w:iCs w:val="1"/>
          <w:color w:val="auto"/>
        </w:rPr>
        <w:t>Variable Interest Entities</w:t>
      </w:r>
      <w:r>
        <w:rPr>
          <w:rFonts w:ascii="Arial" w:cs="Arial" w:eastAsia="Arial" w:hAnsi="Arial"/>
          <w:sz w:val="16"/>
          <w:szCs w:val="16"/>
          <w:color w:val="auto"/>
        </w:rPr>
        <w:t>, which addresses the cost and complexity of financial reporting associated with consolidation of variable interest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adoption of this standard did not impact the Company’s unaudited condensed consolidated financial statements or related disclosures upon adoption, because the Company did not, and currently does not, have any indirect interests through related parties under common control for which it receives decision-making fees.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10-K for the fiscal year ended January 31, 2022. The Company is currently evaluating the impact of this standard to the Company’s financial statements.</w:t>
      </w:r>
    </w:p>
    <w:p>
      <w:pPr>
        <w:spacing w:after="0" w:line="181"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changes the impairment model for most financial assets. The new model uses a forward-looking expected loss method,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result in earlier recognition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allowances for losses. ASU 2016-13, as subsequently amended for various technical issues, is effective for emerging growth companies following private company adoption dates for fiscal years beginning after December 15, 2022 and for interim periods within those fiscal years. If the Company were to cease meeting the emerging growth company criteria during the fiscal year ending January 31, 2022, this ASU would be effective for the Company for its Annual Report on 10-K for the fiscal year ended January 31, 2022. The Company is currently evaluating the impact of this standard to the Company’s financial statements.</w:t>
      </w:r>
    </w:p>
    <w:p>
      <w:pPr>
        <w:spacing w:after="0" w:line="188"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In December 2019, the FASB issued ASU 2019-12, I</w:t>
      </w:r>
      <w:r>
        <w:rPr>
          <w:rFonts w:ascii="Arial" w:cs="Arial" w:eastAsia="Arial" w:hAnsi="Arial"/>
          <w:sz w:val="17"/>
          <w:szCs w:val="17"/>
          <w:i w:val="1"/>
          <w:iCs w:val="1"/>
          <w:color w:val="auto"/>
        </w:rPr>
        <w:t>ncome Taxes (Topic 740): Simplifying the Accounting for Income Taxes</w:t>
      </w:r>
      <w:r>
        <w:rPr>
          <w:rFonts w:ascii="Arial" w:cs="Arial" w:eastAsia="Arial" w:hAnsi="Arial"/>
          <w:sz w:val="17"/>
          <w:szCs w:val="17"/>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If the Company were to cease meeting the emerging growth company criteria during the fiscal year ending January 31, 2022, this ASU would be effective for the Company for its Annual Report on 10-K for the fiscal year ended January 31, 2022. The Company is evaluating the effect of adopting this new accounting guidance, but does not expect adoption will have a material impact on the Company’s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121"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July 31, 2020, the Company controls a majority of the outstanding common stock in nCino K.K.</w:t>
      </w:r>
    </w:p>
    <w:p>
      <w:pPr>
        <w:spacing w:after="0" w:line="171"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 capital. The estimated redemption value of the call/put option embedded in the redeemable non-controlling interest was $0.3 million at July 31, 2020.</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Variable Interest Entity and Redeemable Non-Controlling Interest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4"/>
                <w:szCs w:val="14"/>
                <w:color w:val="auto"/>
              </w:rPr>
              <w:t>Six Months Ended</w:t>
            </w:r>
          </w:p>
        </w:tc>
      </w:tr>
      <w:tr>
        <w:trPr>
          <w:trHeight w:val="167"/>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July 31,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4"/>
                <w:szCs w:val="14"/>
                <w:color w:val="auto"/>
              </w:rPr>
              <w:t>July 31,</w:t>
            </w: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w w:val="89"/>
              </w:rPr>
              <w:t>2020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2019</w:t>
            </w:r>
          </w:p>
        </w:tc>
        <w:tc>
          <w:tcPr>
            <w:tcW w:w="9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(408)</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Adjustment to redeemable non-controlling interest</w:t>
            </w:r>
          </w:p>
        </w:tc>
        <w:tc>
          <w:tcPr>
            <w:tcW w:w="1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4,384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4,384</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as of January 31, 2020 and July 31, 2020 because of the relatively short duration of these instruments.</w:t>
      </w:r>
    </w:p>
    <w:p>
      <w:pPr>
        <w:spacing w:after="0" w:line="170"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2020 and July 31, 2020 and indicates the fair value hierarchy of the valuation: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9"/>
          </w:tcPr>
          <w:p>
            <w:pPr>
              <w:jc w:val="center"/>
              <w:ind w:right="200"/>
              <w:spacing w:after="0"/>
              <w:rPr>
                <w:sz w:val="20"/>
                <w:szCs w:val="20"/>
                <w:color w:val="auto"/>
              </w:rPr>
            </w:pPr>
            <w:r>
              <w:rPr>
                <w:rFonts w:ascii="Arial" w:cs="Arial" w:eastAsia="Arial" w:hAnsi="Arial"/>
                <w:sz w:val="14"/>
                <w:szCs w:val="14"/>
                <w:color w:val="auto"/>
                <w:w w:val="91"/>
              </w:rPr>
              <w:t>Fair value measurements on a recurring basis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as of January 31, 2020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36"/>
              <w:spacing w:after="0" w:line="142" w:lineRule="exact"/>
              <w:rPr>
                <w:sz w:val="20"/>
                <w:szCs w:val="20"/>
                <w:color w:val="auto"/>
              </w:rPr>
            </w:pPr>
            <w:r>
              <w:rPr>
                <w:rFonts w:ascii="Arial" w:cs="Arial" w:eastAsia="Arial" w:hAnsi="Arial"/>
                <w:sz w:val="14"/>
                <w:szCs w:val="14"/>
                <w:color w:val="auto"/>
              </w:rPr>
              <w:t>Level 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20"/>
              <w:spacing w:after="0" w:line="142" w:lineRule="exact"/>
              <w:rPr>
                <w:sz w:val="20"/>
                <w:szCs w:val="20"/>
                <w:color w:val="auto"/>
              </w:rPr>
            </w:pPr>
            <w:r>
              <w:rPr>
                <w:rFonts w:ascii="Arial" w:cs="Arial" w:eastAsia="Arial" w:hAnsi="Arial"/>
                <w:sz w:val="14"/>
                <w:szCs w:val="14"/>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Money market accounts (included in cash and cash equivalents)</w:t>
            </w:r>
          </w:p>
        </w:tc>
        <w:tc>
          <w:tcPr>
            <w:tcW w:w="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(included in other long-term liabilities)</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195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6"/>
              </w:rPr>
              <w:t>195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4440"/>
              <w:spacing w:after="0"/>
              <w:rPr>
                <w:sz w:val="20"/>
                <w:szCs w:val="20"/>
                <w:color w:val="auto"/>
              </w:rPr>
            </w:pPr>
            <w:r>
              <w:rPr>
                <w:rFonts w:ascii="Arial" w:cs="Arial" w:eastAsia="Arial" w:hAnsi="Arial"/>
                <w:sz w:val="18"/>
                <w:szCs w:val="18"/>
                <w:color w:val="auto"/>
              </w:rPr>
              <w:t>F-55</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9"/>
          </w:tcPr>
          <w:p>
            <w:pPr>
              <w:jc w:val="center"/>
              <w:ind w:right="240"/>
              <w:spacing w:after="0"/>
              <w:rPr>
                <w:sz w:val="20"/>
                <w:szCs w:val="20"/>
                <w:color w:val="auto"/>
              </w:rPr>
            </w:pPr>
            <w:r>
              <w:rPr>
                <w:rFonts w:ascii="Arial" w:cs="Arial" w:eastAsia="Arial" w:hAnsi="Arial"/>
                <w:sz w:val="14"/>
                <w:szCs w:val="14"/>
                <w:color w:val="auto"/>
                <w:w w:val="91"/>
              </w:rPr>
              <w:t>Fair value measurements on a recurring basis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3"/>
              </w:rPr>
              <w:t>as of July 31, 2020</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76"/>
              <w:spacing w:after="0" w:line="142" w:lineRule="exact"/>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Arial" w:cs="Arial" w:eastAsia="Arial" w:hAnsi="Arial"/>
                <w:sz w:val="14"/>
                <w:szCs w:val="14"/>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Money market accounts (included in cash and cash equivalents)</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353,857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(included in other accrued expenses)</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209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209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70"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The Company added contingent consideration, a Level 3 measurement, on October 18, 2019 with the acquisition of FinSuite Pty Ltd. Changes in fair value of the contingent consideration are recorded in the unaudited condensed consolidated statements of operations within other income. The Company’s contingent consideration is valued using a probability weighted discounted cash flow analysis. A reconciliation of the balance for contingent consideration obligations for the three and six months ended July 31, 2020 is as follows: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7"/>
          </w:tcPr>
          <w:p>
            <w:pPr>
              <w:ind w:left="140"/>
              <w:spacing w:after="0"/>
              <w:rPr>
                <w:sz w:val="20"/>
                <w:szCs w:val="20"/>
                <w:color w:val="auto"/>
              </w:rPr>
            </w:pPr>
            <w:r>
              <w:rPr>
                <w:rFonts w:ascii="Arial" w:cs="Arial" w:eastAsia="Arial" w:hAnsi="Arial"/>
                <w:sz w:val="14"/>
                <w:szCs w:val="14"/>
                <w:color w:val="auto"/>
              </w:rPr>
              <w:t>Three Months Ended</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5"/>
          </w:tcPr>
          <w:p>
            <w:pPr>
              <w:jc w:val="center"/>
              <w:ind w:right="18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227"/>
              <w:spacing w:after="0"/>
              <w:rPr>
                <w:sz w:val="20"/>
                <w:szCs w:val="20"/>
                <w:color w:val="auto"/>
              </w:rPr>
            </w:pPr>
            <w:r>
              <w:rPr>
                <w:rFonts w:ascii="Arial" w:cs="Arial" w:eastAsia="Arial" w:hAnsi="Arial"/>
                <w:sz w:val="14"/>
                <w:szCs w:val="14"/>
                <w:color w:val="auto"/>
              </w:rPr>
              <w:t>July 31,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4"/>
          </w:tcPr>
          <w:p>
            <w:pPr>
              <w:jc w:val="center"/>
              <w:ind w:right="520"/>
              <w:spacing w:after="0"/>
              <w:rPr>
                <w:sz w:val="20"/>
                <w:szCs w:val="20"/>
                <w:color w:val="auto"/>
              </w:rPr>
            </w:pPr>
            <w:r>
              <w:rPr>
                <w:rFonts w:ascii="Arial" w:cs="Arial" w:eastAsia="Arial" w:hAnsi="Arial"/>
                <w:sz w:val="14"/>
                <w:szCs w:val="14"/>
                <w:color w:val="auto"/>
                <w:w w:val="95"/>
              </w:rPr>
              <w:t>July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2019</w:t>
            </w:r>
          </w:p>
        </w:tc>
        <w:tc>
          <w:tcPr>
            <w:tcW w:w="1160" w:type="dxa"/>
            <w:vAlign w:val="bottom"/>
            <w:tcBorders>
              <w:top w:val="single" w:sz="8" w:color="auto"/>
            </w:tcBorders>
            <w:gridSpan w:val="4"/>
          </w:tcPr>
          <w:p>
            <w:pPr>
              <w:jc w:val="right"/>
              <w:ind w:right="50"/>
              <w:spacing w:after="0" w:line="142" w:lineRule="exact"/>
              <w:rPr>
                <w:sz w:val="20"/>
                <w:szCs w:val="20"/>
                <w:color w:val="auto"/>
              </w:rPr>
            </w:pPr>
            <w:r>
              <w:rPr>
                <w:rFonts w:ascii="Arial" w:cs="Arial" w:eastAsia="Arial" w:hAnsi="Arial"/>
                <w:sz w:val="14"/>
                <w:szCs w:val="14"/>
                <w:color w:val="auto"/>
              </w:rPr>
              <w:t>2020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2019</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left="499"/>
              <w:spacing w:after="0" w:line="142" w:lineRule="exact"/>
              <w:rPr>
                <w:sz w:val="20"/>
                <w:szCs w:val="20"/>
                <w:color w:val="auto"/>
              </w:rPr>
            </w:pPr>
            <w:r>
              <w:rPr>
                <w:rFonts w:ascii="Arial" w:cs="Arial" w:eastAsia="Arial" w:hAnsi="Arial"/>
                <w:sz w:val="14"/>
                <w:szCs w:val="14"/>
                <w:color w:val="auto"/>
                <w:w w:val="96"/>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190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lef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Acquisitions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8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Translation adjustments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90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209</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center"/>
              <w:ind w:left="459"/>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209</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Revenues</w:t>
            </w: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60" w:type="dxa"/>
            <w:vAlign w:val="bottom"/>
            <w:gridSpan w:val="3"/>
            <w:vMerge w:val="continue"/>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Revenues by Geographic Area</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4420" w:type="dxa"/>
            <w:vAlign w:val="bottom"/>
            <w:gridSpan w:val="2"/>
          </w:tcPr>
          <w:p>
            <w:pPr>
              <w:ind w:left="440"/>
              <w:spacing w:after="0"/>
              <w:rPr>
                <w:sz w:val="20"/>
                <w:szCs w:val="20"/>
                <w:color w:val="auto"/>
              </w:rPr>
            </w:pPr>
            <w:r>
              <w:rPr>
                <w:rFonts w:ascii="Arial" w:cs="Arial" w:eastAsia="Arial" w:hAnsi="Arial"/>
                <w:sz w:val="18"/>
                <w:szCs w:val="18"/>
                <w:color w:val="auto"/>
              </w:rPr>
              <w:t>Revenues by geographic region were as follows:</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20" w:type="dxa"/>
            <w:vAlign w:val="bottom"/>
            <w:gridSpan w:val="7"/>
          </w:tcPr>
          <w:p>
            <w:pPr>
              <w:ind w:left="20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8"/>
          </w:tcPr>
          <w:p>
            <w:pPr>
              <w:jc w:val="center"/>
              <w:ind w:right="48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507"/>
              <w:spacing w:after="0"/>
              <w:rPr>
                <w:sz w:val="20"/>
                <w:szCs w:val="20"/>
                <w:color w:val="auto"/>
              </w:rPr>
            </w:pPr>
            <w:r>
              <w:rPr>
                <w:rFonts w:ascii="Arial" w:cs="Arial" w:eastAsia="Arial" w:hAnsi="Arial"/>
                <w:sz w:val="14"/>
                <w:szCs w:val="14"/>
                <w:color w:val="auto"/>
              </w:rPr>
              <w:t>July 31,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5"/>
              </w:rPr>
              <w:t>July 31,</w:t>
            </w: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89"/>
              </w:rPr>
              <w:t>2019</w:t>
            </w:r>
          </w:p>
        </w:tc>
        <w:tc>
          <w:tcPr>
            <w:tcW w:w="200" w:type="dxa"/>
            <w:vAlign w:val="bottom"/>
          </w:tcPr>
          <w:p>
            <w:pPr>
              <w:spacing w:after="0"/>
              <w:rPr>
                <w:sz w:val="12"/>
                <w:szCs w:val="12"/>
                <w:color w:val="auto"/>
              </w:rPr>
            </w:pPr>
          </w:p>
        </w:tc>
        <w:tc>
          <w:tcPr>
            <w:tcW w:w="820" w:type="dxa"/>
            <w:vAlign w:val="bottom"/>
            <w:gridSpan w:val="3"/>
          </w:tcPr>
          <w:p>
            <w:pPr>
              <w:jc w:val="right"/>
              <w:ind w:right="87"/>
              <w:spacing w:after="0" w:line="142" w:lineRule="exact"/>
              <w:rPr>
                <w:sz w:val="20"/>
                <w:szCs w:val="20"/>
                <w:color w:val="auto"/>
              </w:rPr>
            </w:pPr>
            <w:r>
              <w:rPr>
                <w:rFonts w:ascii="Arial" w:cs="Arial" w:eastAsia="Arial" w:hAnsi="Arial"/>
                <w:sz w:val="14"/>
                <w:szCs w:val="14"/>
                <w:color w:val="auto"/>
              </w:rPr>
              <w:t>2020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color w:val="auto"/>
                <w:w w:val="89"/>
              </w:rPr>
              <w:t>2019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9"/>
              <w:spacing w:after="0" w:line="142" w:lineRule="exact"/>
              <w:rPr>
                <w:sz w:val="20"/>
                <w:szCs w:val="20"/>
                <w:color w:val="auto"/>
              </w:rPr>
            </w:pPr>
            <w:r>
              <w:rPr>
                <w:rFonts w:ascii="Arial" w:cs="Arial" w:eastAsia="Arial" w:hAnsi="Arial"/>
                <w:sz w:val="14"/>
                <w:szCs w:val="14"/>
                <w:color w:val="auto"/>
                <w:w w:val="89"/>
              </w:rPr>
              <w:t>2020</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5"/>
              </w:rPr>
              <w:t>$ 29,653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$ 44,049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5"/>
              </w:rPr>
              <w:t>$ 57,332</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$ 84,520</w:t>
            </w:r>
          </w:p>
        </w:tc>
        <w:tc>
          <w:tcPr>
            <w:tcW w:w="440" w:type="dxa"/>
            <w:vAlign w:val="bottom"/>
            <w:tcBorders>
              <w:left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International</w:t>
            </w:r>
          </w:p>
        </w:tc>
        <w:tc>
          <w:tcPr>
            <w:tcW w:w="2160" w:type="dxa"/>
            <w:vAlign w:val="bottom"/>
            <w:gridSpan w:val="4"/>
          </w:tcPr>
          <w:p>
            <w:pPr>
              <w:jc w:val="center"/>
              <w:ind w:left="1470"/>
              <w:spacing w:after="0"/>
              <w:rPr>
                <w:sz w:val="20"/>
                <w:szCs w:val="20"/>
                <w:color w:val="auto"/>
              </w:rPr>
            </w:pPr>
            <w:r>
              <w:rPr>
                <w:rFonts w:ascii="Arial" w:cs="Arial" w:eastAsia="Arial" w:hAnsi="Arial"/>
                <w:sz w:val="18"/>
                <w:szCs w:val="18"/>
                <w:color w:val="auto"/>
                <w:w w:val="99"/>
              </w:rPr>
              <w:t>$ 2,325</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$ 4,716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9"/>
              </w:rPr>
              <w:t>$ 4,482</w:t>
            </w:r>
          </w:p>
        </w:tc>
        <w:tc>
          <w:tcPr>
            <w:tcW w:w="4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8,957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160" w:type="dxa"/>
            <w:vAlign w:val="bottom"/>
            <w:gridSpan w:val="4"/>
            <w:shd w:val="clear" w:color="auto" w:fill="CCEEFF"/>
          </w:tcPr>
          <w:p>
            <w:pPr>
              <w:jc w:val="center"/>
              <w:ind w:left="1470"/>
              <w:spacing w:after="0"/>
              <w:rPr>
                <w:sz w:val="20"/>
                <w:szCs w:val="20"/>
                <w:color w:val="auto"/>
              </w:rPr>
            </w:pPr>
            <w:r>
              <w:rPr>
                <w:rFonts w:ascii="Arial" w:cs="Arial" w:eastAsia="Arial" w:hAnsi="Arial"/>
                <w:sz w:val="18"/>
                <w:szCs w:val="18"/>
                <w:color w:val="auto"/>
                <w:w w:val="85"/>
              </w:rPr>
              <w:t>$ 31,978</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$ 48,765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$ 61,814</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$ 93,477</w:t>
            </w:r>
          </w:p>
        </w:tc>
        <w:tc>
          <w:tcPr>
            <w:tcW w:w="440" w:type="dxa"/>
            <w:vAlign w:val="bottom"/>
            <w:tcBorders>
              <w:left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00" w:type="dxa"/>
            <w:vAlign w:val="bottom"/>
            <w:gridSpan w:val="3"/>
          </w:tcPr>
          <w:p>
            <w:pPr>
              <w:ind w:left="480"/>
              <w:spacing w:after="0"/>
              <w:rPr>
                <w:sz w:val="20"/>
                <w:szCs w:val="20"/>
                <w:color w:val="auto"/>
              </w:rPr>
            </w:pPr>
            <w:r>
              <w:rPr>
                <w:rFonts w:ascii="Arial" w:cs="Arial" w:eastAsia="Arial" w:hAnsi="Arial"/>
                <w:sz w:val="18"/>
                <w:szCs w:val="18"/>
                <w:color w:val="auto"/>
              </w:rPr>
              <w:t>F-56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Revenues (Continued)</w:t>
      </w:r>
    </w:p>
    <w:p>
      <w:pPr>
        <w:spacing w:after="0" w:line="13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Revenues by geography are determined based on the region of the Company’s contracting entity, which may be different than the region of the customer. No country outside the United States represented 10% or more of total revenues.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Amounts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Accounts receivable, less allowance for doubtful accounts, is as follows as of January 31, 2020 and July 31, 2020:</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As of January 31,</w:t>
            </w:r>
          </w:p>
        </w:tc>
        <w:tc>
          <w:tcPr>
            <w:tcW w:w="4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As of July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1,425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34,205</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 and Remaining Performance Obligation</w:t>
      </w:r>
    </w:p>
    <w:p>
      <w:pPr>
        <w:spacing w:after="0" w:line="11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Significant movements in the deferred revenue balance during the period consisted of increases due to payments received prior to transfer of control of the underlying performance obligations to the customer, which were offset by decreases due to revenues recognized in the period. During the six months ended July 31, 2020, $43.1 million of revenues were recognized that were included in the balance of deferred revenue as of January 31, 2020.</w:t>
      </w:r>
    </w:p>
    <w:p>
      <w:pPr>
        <w:spacing w:after="0" w:line="187"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1" w:lineRule="exact"/>
        <w:rPr>
          <w:sz w:val="20"/>
          <w:szCs w:val="20"/>
          <w:color w:val="auto"/>
        </w:rPr>
      </w:pPr>
    </w:p>
    <w:p>
      <w:pPr>
        <w:ind w:left="120" w:right="420" w:firstLine="881"/>
        <w:spacing w:after="0" w:line="342" w:lineRule="auto"/>
        <w:rPr>
          <w:sz w:val="20"/>
          <w:szCs w:val="20"/>
          <w:color w:val="auto"/>
        </w:rPr>
      </w:pPr>
      <w:r>
        <w:rPr>
          <w:rFonts w:ascii="Arial" w:cs="Arial" w:eastAsia="Arial" w:hAnsi="Arial"/>
          <w:sz w:val="16"/>
          <w:szCs w:val="16"/>
          <w:color w:val="auto"/>
        </w:rPr>
        <w:t>Remaining performance obligations were $455.7 million as of July 31, 2020. The Company expects to recognize 66% of its remaining performance obligation as revenues in the next 24 months, 30% more in the following 25 to 48 months, and the remainder thereafter.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Business Combinations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Visible Equity, LLC</w:t>
      </w:r>
    </w:p>
    <w:p>
      <w:pPr>
        <w:spacing w:after="0" w:line="121" w:lineRule="exact"/>
        <w:rPr>
          <w:sz w:val="20"/>
          <w:szCs w:val="20"/>
          <w:color w:val="auto"/>
        </w:rPr>
      </w:pPr>
    </w:p>
    <w:p>
      <w:pPr>
        <w:jc w:val="both"/>
        <w:ind w:left="120" w:right="260" w:firstLine="881"/>
        <w:spacing w:after="0" w:line="286" w:lineRule="auto"/>
        <w:rPr>
          <w:sz w:val="20"/>
          <w:szCs w:val="20"/>
          <w:color w:val="auto"/>
        </w:rPr>
      </w:pPr>
      <w:r>
        <w:rPr>
          <w:rFonts w:ascii="Arial" w:cs="Arial" w:eastAsia="Arial" w:hAnsi="Arial"/>
          <w:sz w:val="17"/>
          <w:szCs w:val="17"/>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Business Combinations (Continued)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Consideration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members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Voting common stock issued (1,438,805 shares)</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ended one year from the acquisition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Finsuite Pty Ltd</w:t>
      </w:r>
    </w:p>
    <w:p>
      <w:pPr>
        <w:spacing w:after="0" w:line="121"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On October 18, 2019, the Company, through its wholly-owned subsidiary, nCino APAC Pty Ltd, acquired all of the outstanding shares of FinSuite Pty Ltd (“FinSuite”). The Company acquired FinSuite to enhance the Company’s data recognition capabilities, including of complex, unstructured data. FinSuite is headquartered in Melbourne, Australia.</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ind w:left="100"/>
              <w:spacing w:after="0"/>
              <w:rPr>
                <w:sz w:val="20"/>
                <w:szCs w:val="20"/>
                <w:color w:val="auto"/>
              </w:rPr>
            </w:pPr>
            <w:r>
              <w:rPr>
                <w:rFonts w:ascii="Arial" w:cs="Arial" w:eastAsia="Arial" w:hAnsi="Arial"/>
                <w:sz w:val="14"/>
                <w:szCs w:val="14"/>
                <w:color w:val="auto"/>
              </w:rPr>
              <w:t>Total</w:t>
            </w:r>
          </w:p>
        </w:tc>
      </w:tr>
      <w:tr>
        <w:trPr>
          <w:trHeight w:val="167"/>
        </w:trPr>
        <w:tc>
          <w:tcPr>
            <w:tcW w:w="66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color w:val="auto"/>
                <w:w w:val="94"/>
              </w:rPr>
              <w:t>Consideration</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shareholders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Cash consideration to settle debt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Voting common stock issued (63,967 shares)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Contingent consideration—cash payment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consideration—voting common stock</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5,857</w:t>
            </w:r>
          </w:p>
        </w:tc>
        <w:tc>
          <w:tcPr>
            <w:tcW w:w="2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will end one year from the acquisition date.</w:t>
      </w:r>
    </w:p>
    <w:p>
      <w:pPr>
        <w:spacing w:after="0" w:line="18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 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of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Business Combinations (Continued)</w:t>
      </w:r>
    </w:p>
    <w:p>
      <w:pPr>
        <w:spacing w:after="0" w:line="13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The cash portion of the contingent consideration of $0.2 million is included in other long-term liabilities and other accrued expenses in the accompanying unaudited condensed consolidated balance sheet as of January 31, 2020 and July 31, 2020, respectively. The share portion of the contingent consideration was recorded as of the acquisition date and is reflected as a component of stockholders’ equity in the accompanying unaudited condensed consolidated balance sheet as of January 31, 2020 and July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 and 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Intangible assets, net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color w:val="auto"/>
                <w:w w:val="93"/>
              </w:rPr>
              <w:t>As of January 31, 2020</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As of July 31, 2020</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80"/>
              <w:spacing w:after="0" w:line="123" w:lineRule="exact"/>
              <w:rPr>
                <w:sz w:val="20"/>
                <w:szCs w:val="20"/>
                <w:color w:val="auto"/>
              </w:rPr>
            </w:pPr>
            <w:r>
              <w:rPr>
                <w:rFonts w:ascii="Arial" w:cs="Arial" w:eastAsia="Arial" w:hAnsi="Arial"/>
                <w:sz w:val="14"/>
                <w:szCs w:val="14"/>
                <w:color w:val="auto"/>
                <w:w w:val="96"/>
              </w:rPr>
              <w:t>Gross</w:t>
            </w:r>
          </w:p>
        </w:tc>
        <w:tc>
          <w:tcPr>
            <w:tcW w:w="200" w:type="dxa"/>
            <w:vAlign w:val="bottom"/>
          </w:tcPr>
          <w:p>
            <w:pPr>
              <w:spacing w:after="0"/>
              <w:rPr>
                <w:sz w:val="10"/>
                <w:szCs w:val="10"/>
                <w:color w:val="auto"/>
              </w:rPr>
            </w:pPr>
          </w:p>
        </w:tc>
        <w:tc>
          <w:tcPr>
            <w:tcW w:w="1100" w:type="dxa"/>
            <w:vAlign w:val="bottom"/>
            <w:gridSpan w:val="6"/>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gridSpan w:val="3"/>
          </w:tcPr>
          <w:p>
            <w:pPr>
              <w:spacing w:after="0" w:line="123" w:lineRule="exact"/>
              <w:rPr>
                <w:sz w:val="20"/>
                <w:szCs w:val="20"/>
                <w:color w:val="auto"/>
              </w:rPr>
            </w:pPr>
            <w:r>
              <w:rPr>
                <w:rFonts w:ascii="Arial" w:cs="Arial" w:eastAsia="Arial" w:hAnsi="Arial"/>
                <w:sz w:val="14"/>
                <w:szCs w:val="14"/>
                <w:color w:val="auto"/>
                <w:w w:val="94"/>
              </w:rPr>
              <w:t>Net Carrying</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5"/>
          </w:tcPr>
          <w:p>
            <w:pPr>
              <w:ind w:left="80"/>
              <w:spacing w:after="0" w:line="123" w:lineRule="exact"/>
              <w:rPr>
                <w:sz w:val="20"/>
                <w:szCs w:val="20"/>
                <w:color w:val="auto"/>
              </w:rPr>
            </w:pPr>
            <w:r>
              <w:rPr>
                <w:rFonts w:ascii="Arial" w:cs="Arial" w:eastAsia="Arial" w:hAnsi="Arial"/>
                <w:sz w:val="14"/>
                <w:szCs w:val="14"/>
                <w:color w:val="auto"/>
              </w:rPr>
              <w:t>Gross</w:t>
            </w:r>
          </w:p>
        </w:tc>
        <w:tc>
          <w:tcPr>
            <w:tcW w:w="160" w:type="dxa"/>
            <w:vAlign w:val="bottom"/>
          </w:tcPr>
          <w:p>
            <w:pPr>
              <w:spacing w:after="0"/>
              <w:rPr>
                <w:sz w:val="10"/>
                <w:szCs w:val="10"/>
                <w:color w:val="auto"/>
              </w:rPr>
            </w:pPr>
          </w:p>
        </w:tc>
        <w:tc>
          <w:tcPr>
            <w:tcW w:w="1100" w:type="dxa"/>
            <w:vAlign w:val="bottom"/>
            <w:gridSpan w:val="5"/>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94"/>
              </w:rPr>
              <w:t>Net Carrying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4"/>
                <w:szCs w:val="14"/>
                <w:color w:val="auto"/>
              </w:rPr>
            </w:pPr>
          </w:p>
        </w:tc>
        <w:tc>
          <w:tcPr>
            <w:tcW w:w="1100" w:type="dxa"/>
            <w:vAlign w:val="bottom"/>
            <w:gridSpan w:val="6"/>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4"/>
                <w:szCs w:val="14"/>
                <w:color w:val="auto"/>
              </w:rPr>
            </w:pPr>
          </w:p>
        </w:tc>
        <w:tc>
          <w:tcPr>
            <w:tcW w:w="640" w:type="dxa"/>
            <w:vAlign w:val="bottom"/>
            <w:gridSpan w:val="5"/>
          </w:tcPr>
          <w:p>
            <w:pPr>
              <w:ind w:left="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6,172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21,706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181"/>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20,769</w:t>
            </w:r>
          </w:p>
        </w:tc>
        <w:tc>
          <w:tcPr>
            <w:tcW w:w="680" w:type="dxa"/>
            <w:vAlign w:val="bottom"/>
            <w:gridSpan w:val="6"/>
          </w:tcPr>
          <w:p>
            <w:pPr>
              <w:jc w:val="right"/>
              <w:ind w:right="100"/>
              <w:spacing w:after="0"/>
              <w:rPr>
                <w:sz w:val="20"/>
                <w:szCs w:val="20"/>
                <w:color w:val="auto"/>
              </w:rPr>
            </w:pPr>
            <w:r>
              <w:rPr>
                <w:rFonts w:ascii="Arial" w:cs="Arial" w:eastAsia="Arial" w:hAnsi="Arial"/>
                <w:sz w:val="18"/>
                <w:szCs w:val="18"/>
                <w:color w:val="auto"/>
              </w:rPr>
              <w:t>21,714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81"/>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19,941</w:t>
            </w: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1"/>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27,839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(1,746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26,093</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(3,377</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ind w:left="880"/>
              <w:spacing w:after="0"/>
              <w:rPr>
                <w:sz w:val="20"/>
                <w:szCs w:val="20"/>
                <w:color w:val="auto"/>
              </w:rPr>
            </w:pPr>
            <w:r>
              <w:rPr>
                <w:rFonts w:ascii="Arial" w:cs="Arial" w:eastAsia="Arial" w:hAnsi="Arial"/>
                <w:sz w:val="18"/>
                <w:szCs w:val="18"/>
                <w:color w:val="auto"/>
                <w:w w:val="91"/>
              </w:rPr>
              <w:t>The Company recognized amortization expense as follows:</w:t>
            </w: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8"/>
          </w:tcPr>
          <w:p>
            <w:pPr>
              <w:ind w:left="80"/>
              <w:spacing w:after="0"/>
              <w:rPr>
                <w:sz w:val="20"/>
                <w:szCs w:val="20"/>
                <w:color w:val="auto"/>
              </w:rPr>
            </w:pPr>
            <w:r>
              <w:rPr>
                <w:rFonts w:ascii="Arial" w:cs="Arial" w:eastAsia="Arial" w:hAnsi="Arial"/>
                <w:sz w:val="14"/>
                <w:szCs w:val="14"/>
                <w:color w:val="auto"/>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10"/>
          </w:tcPr>
          <w:p>
            <w:pPr>
              <w:jc w:val="right"/>
              <w:ind w:right="601"/>
              <w:spacing w:after="0"/>
              <w:rPr>
                <w:sz w:val="20"/>
                <w:szCs w:val="20"/>
                <w:color w:val="auto"/>
              </w:rPr>
            </w:pPr>
            <w:r>
              <w:rPr>
                <w:rFonts w:ascii="Arial" w:cs="Arial" w:eastAsia="Arial" w:hAnsi="Arial"/>
                <w:sz w:val="14"/>
                <w:szCs w:val="14"/>
                <w:color w:val="auto"/>
                <w:w w:val="96"/>
              </w:rPr>
              <w:t>Six Months Ended</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July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July 31,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2019</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2020</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89"/>
              </w:rPr>
              <w:t>2020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378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108"/>
              <w:spacing w:after="0"/>
              <w:rPr>
                <w:sz w:val="20"/>
                <w:szCs w:val="20"/>
                <w:color w:val="auto"/>
              </w:rPr>
            </w:pPr>
            <w:r>
              <w:rPr>
                <w:rFonts w:ascii="Arial" w:cs="Arial" w:eastAsia="Arial" w:hAnsi="Arial"/>
                <w:sz w:val="18"/>
                <w:szCs w:val="18"/>
                <w:color w:val="auto"/>
                <w:w w:val="79"/>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Total amortization expense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796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1,592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19"/>
          </w:tcPr>
          <w:p>
            <w:pPr>
              <w:ind w:left="880"/>
              <w:spacing w:after="0"/>
              <w:rPr>
                <w:sz w:val="20"/>
                <w:szCs w:val="20"/>
                <w:color w:val="auto"/>
              </w:rPr>
            </w:pPr>
            <w:r>
              <w:rPr>
                <w:rFonts w:ascii="Arial" w:cs="Arial" w:eastAsia="Arial" w:hAnsi="Arial"/>
                <w:sz w:val="18"/>
                <w:szCs w:val="18"/>
                <w:color w:val="auto"/>
                <w:w w:val="96"/>
              </w:rPr>
              <w:t>The expected future amortization expense for intangible assets as of July 31, 2020 is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440" w:type="dxa"/>
            <w:vAlign w:val="bottom"/>
            <w:vMerge w:val="restart"/>
          </w:tcPr>
          <w:p>
            <w:pPr>
              <w:spacing w:after="0"/>
              <w:rPr>
                <w:sz w:val="21"/>
                <w:szCs w:val="21"/>
                <w:color w:val="auto"/>
              </w:rPr>
            </w:pPr>
          </w:p>
        </w:tc>
        <w:tc>
          <w:tcPr>
            <w:tcW w:w="2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Fiscal Year Ending January 31,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 (remaining)</w:t>
            </w:r>
          </w:p>
        </w:tc>
        <w:tc>
          <w:tcPr>
            <w:tcW w:w="1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7"/>
          </w:tcPr>
          <w:p>
            <w:pPr>
              <w:jc w:val="right"/>
              <w:spacing w:after="0"/>
              <w:rPr>
                <w:sz w:val="20"/>
                <w:szCs w:val="20"/>
                <w:color w:val="auto"/>
              </w:rPr>
            </w:pPr>
            <w:r>
              <w:rPr>
                <w:rFonts w:ascii="Arial" w:cs="Arial" w:eastAsia="Arial" w:hAnsi="Arial"/>
                <w:sz w:val="18"/>
                <w:szCs w:val="18"/>
                <w:color w:val="auto"/>
              </w:rPr>
              <w:t>1,606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2023</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7"/>
          </w:tcPr>
          <w:p>
            <w:pPr>
              <w:jc w:val="right"/>
              <w:spacing w:after="0"/>
              <w:rPr>
                <w:sz w:val="20"/>
                <w:szCs w:val="20"/>
                <w:color w:val="auto"/>
              </w:rPr>
            </w:pPr>
            <w:r>
              <w:rPr>
                <w:rFonts w:ascii="Arial" w:cs="Arial" w:eastAsia="Arial" w:hAnsi="Arial"/>
                <w:sz w:val="18"/>
                <w:szCs w:val="18"/>
                <w:color w:val="auto"/>
              </w:rPr>
              <w:t>3,212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2025</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7"/>
          </w:tcPr>
          <w:p>
            <w:pPr>
              <w:jc w:val="right"/>
              <w:spacing w:after="0"/>
              <w:rPr>
                <w:sz w:val="20"/>
                <w:szCs w:val="20"/>
                <w:color w:val="auto"/>
              </w:rPr>
            </w:pPr>
            <w:r>
              <w:rPr>
                <w:rFonts w:ascii="Arial" w:cs="Arial" w:eastAsia="Arial" w:hAnsi="Arial"/>
                <w:sz w:val="18"/>
                <w:szCs w:val="18"/>
                <w:color w:val="auto"/>
              </w:rPr>
              <w:t>1,670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12,425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w w:val="91"/>
              </w:rPr>
              <w:t>$ 24,636</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 and Goodwill (Continued)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carrying amount of goodwill was $55.8 million and $56.5 million as of January 31, 2020 and July 31, 2020, respectively. The change in goodwill is due to translation adjustments and was $0.0 million and $0.9 million for the three months ended July 31, 2019 and 2020, respectively, and $0.0 million and $0.7 million for the six months ended July 31, 2019 and 2020,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Reseller Agreement</w:t>
      </w:r>
    </w:p>
    <w:p>
      <w:pPr>
        <w:spacing w:after="0" w:line="121" w:lineRule="exact"/>
        <w:rPr>
          <w:sz w:val="20"/>
          <w:szCs w:val="20"/>
          <w:color w:val="auto"/>
        </w:rPr>
      </w:pPr>
    </w:p>
    <w:p>
      <w:pPr>
        <w:ind w:left="120" w:right="160" w:firstLine="881"/>
        <w:spacing w:after="0" w:line="272" w:lineRule="auto"/>
        <w:rPr>
          <w:sz w:val="20"/>
          <w:szCs w:val="20"/>
          <w:color w:val="auto"/>
        </w:rPr>
      </w:pPr>
      <w:r>
        <w:rPr>
          <w:rFonts w:ascii="Arial" w:cs="Arial" w:eastAsia="Arial" w:hAnsi="Arial"/>
          <w:sz w:val="17"/>
          <w:szCs w:val="17"/>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three and six months ended July 31, 2019 and 2020 substantially consists of fees paid for access to the related party’s platform, including their hosting infrastructure and data center operations. The Company has recorded expenses of $5.4 million and $8.7 million for the three months ended July 31, 2019 and 2020, respectively and $10.4 million and $16.2 million for the six months ended July 31, 2019 and 2020, respectively. See also Note 12.</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Pursuant to the fourth certificate of amendment to the Company’s third amended and restated certificate of incorporation dated July 6, 2020, each share of voting and non-voting common stock issued and outstanding prior to the effectiveness was reclassified into a single class of stock designated as common stock which has one vote per share. Subsequent to the effectiveness of the Company’s amended and restated certificate of incorporation, the Company’s common stock consists of 500,000,000 authorized shares, par value $0.0005 per share and the Company’s preferred stock consists of 10,000,000 authorized shares, par value $0.001 per share.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July 31, 2020, the Company committed a total of 24,785,528 shares of common stock for future issuance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7,464,094</w:t>
            </w:r>
          </w:p>
        </w:tc>
        <w:tc>
          <w:tcPr>
            <w:tcW w:w="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Nonvested issued and outstanding restricted stock units (“RSUs”)</w:t>
            </w:r>
          </w:p>
        </w:tc>
        <w:tc>
          <w:tcPr>
            <w:tcW w:w="1120" w:type="dxa"/>
            <w:vAlign w:val="bottom"/>
          </w:tcPr>
          <w:p>
            <w:pPr>
              <w:jc w:val="right"/>
              <w:spacing w:after="0"/>
              <w:rPr>
                <w:sz w:val="20"/>
                <w:szCs w:val="20"/>
                <w:color w:val="auto"/>
              </w:rPr>
            </w:pPr>
            <w:r>
              <w:rPr>
                <w:rFonts w:ascii="Arial" w:cs="Arial" w:eastAsia="Arial" w:hAnsi="Arial"/>
                <w:sz w:val="18"/>
                <w:szCs w:val="18"/>
                <w:color w:val="auto"/>
              </w:rPr>
              <w:t>2,041,093</w:t>
            </w:r>
          </w:p>
        </w:tc>
        <w:tc>
          <w:tcPr>
            <w:tcW w:w="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Possible issuance under stock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15,280,341</w:t>
            </w:r>
          </w:p>
        </w:tc>
        <w:tc>
          <w:tcPr>
            <w:tcW w:w="2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24,785,528</w:t>
            </w:r>
          </w:p>
        </w:tc>
        <w:tc>
          <w:tcPr>
            <w:tcW w:w="20" w:type="dxa"/>
            <w:vAlign w:val="bottom"/>
            <w:tcBorders>
              <w:bottom w:val="single" w:sz="8" w:color="auto"/>
            </w:tcBorders>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Stock-Based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The Company has stock-based compensation plans that provide for the award of equity incentives, including stock options, stock appreciation rights, restricted stock awards, restricted stock units, performance shares, performance units, cash-based award and other stock-based awards. As of July 31, 2020, the Company had stock options outstanding under the 2014 Stock Plan (“2014 Plan”) and the 2019 Equity Incentive Plan had stock options and RSUs outstanding. As of July 31, 2020, the Company also has an employee stock purchase plan.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13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In connection with the IPO, the Board of Directors adopted and stockholders approved an amended and restated 2019 Equity Incentive Plan (“2019 Plan”) to, among other things as defined in the 2019 Plan document, increase the available shares under the Plan to 15,250,000, plus an annual increase added on the first day of each fiscal year, beginning with the fiscal year ending January 31, 2022, and continuing until, and including, the fiscal year ending January 31, 2031. The annual increase will be equal to the lesser of (i) 5% of the number of shares issued and outstanding as of January 31 of the immediately preceding fiscal year and (ii) an amount determined by the Company’s Board of Directors. The Company ceased granting awards under the 2014 Plan during the fiscal year ended January 31, 2020, and all shares that remained available for issuance under the 2014 Plan were transferred to the 2019 Plan prior to the closing of the IPO. Additionally, the number of shares available under the 2019 Plan shall be increased by the number of shares outstanding under the 2014 Plan that expire, terminate or are canceled without having been exercised or settled in full.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Stock option activity during the six months ended July 31, 2020 was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52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7"/>
        </w:trPr>
        <w:tc>
          <w:tcPr>
            <w:tcW w:w="5960" w:type="dxa"/>
            <w:vAlign w:val="bottom"/>
          </w:tcPr>
          <w:p>
            <w:pPr>
              <w:spacing w:after="0"/>
              <w:rPr>
                <w:sz w:val="14"/>
                <w:szCs w:val="14"/>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4"/>
                <w:szCs w:val="14"/>
                <w:color w:val="auto"/>
              </w:rPr>
              <w:t>Shares</w:t>
            </w:r>
          </w:p>
        </w:tc>
        <w:tc>
          <w:tcPr>
            <w:tcW w:w="880" w:type="dxa"/>
            <w:vAlign w:val="bottom"/>
            <w:gridSpan w:val="3"/>
          </w:tcPr>
          <w:p>
            <w:pPr>
              <w:spacing w:after="0"/>
              <w:rPr>
                <w:sz w:val="20"/>
                <w:szCs w:val="20"/>
                <w:color w:val="auto"/>
              </w:rPr>
            </w:pPr>
            <w:r>
              <w:rPr>
                <w:rFonts w:ascii="Arial" w:cs="Arial" w:eastAsia="Arial" w:hAnsi="Arial"/>
                <w:sz w:val="14"/>
                <w:szCs w:val="14"/>
                <w:color w:val="auto"/>
                <w:w w:val="96"/>
              </w:rPr>
              <w:t>Exercise Price</w:t>
            </w: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7,837,023</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(46,899)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(326,030)</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July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7,464,094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Exercisable, July 31, 2020</w:t>
            </w:r>
          </w:p>
        </w:tc>
        <w:tc>
          <w:tcPr>
            <w:tcW w:w="152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5,542,247</w:t>
            </w:r>
          </w:p>
        </w:tc>
        <w:tc>
          <w:tcPr>
            <w:tcW w:w="7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Fully vested or expected to vest, July 31, 2020</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6,717,685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881"/>
        <w:spacing w:after="0" w:line="342" w:lineRule="auto"/>
        <w:rPr>
          <w:sz w:val="20"/>
          <w:szCs w:val="20"/>
          <w:color w:val="auto"/>
        </w:rPr>
      </w:pPr>
      <w:r>
        <w:rPr>
          <w:rFonts w:ascii="Arial" w:cs="Arial" w:eastAsia="Arial" w:hAnsi="Arial"/>
          <w:sz w:val="16"/>
          <w:szCs w:val="16"/>
          <w:color w:val="auto"/>
        </w:rPr>
        <w:t>As of July 31, 2020, there was $5.5 million of total unrecognized compensation expense related to unvested stock-based compensation arrangements under the 2014 and 2019 Plans. That cost is expected to be recognized over a weighted average period of 1.53 years.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Restricted stock unit (“RSU”) activity during the six months ended July 31, 2020 was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w w:val="92"/>
              </w:rPr>
              <w:t>Weighted Average</w:t>
            </w:r>
          </w:p>
        </w:tc>
      </w:tr>
      <w:tr>
        <w:trPr>
          <w:trHeight w:val="148"/>
        </w:trPr>
        <w:tc>
          <w:tcPr>
            <w:tcW w:w="5680" w:type="dxa"/>
            <w:vAlign w:val="bottom"/>
          </w:tcPr>
          <w:p>
            <w:pPr>
              <w:spacing w:after="0"/>
              <w:rPr>
                <w:sz w:val="12"/>
                <w:szCs w:val="12"/>
                <w:color w:val="auto"/>
              </w:rPr>
            </w:pP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Number of</w:t>
            </w:r>
          </w:p>
        </w:tc>
        <w:tc>
          <w:tcPr>
            <w:tcW w:w="38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Grant Date Fair</w:t>
            </w:r>
          </w:p>
        </w:tc>
      </w:tr>
      <w:tr>
        <w:trPr>
          <w:trHeight w:val="167"/>
        </w:trPr>
        <w:tc>
          <w:tcPr>
            <w:tcW w:w="568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color w:val="auto"/>
              </w:rPr>
              <w:t>Shares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Value</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948,119</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4"/>
              </w:rPr>
              <w:t>21.75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1,120,054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w w:val="93"/>
              </w:rPr>
              <w:t>20.07</w:t>
            </w: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1</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20.00</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(9,580)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w w:val="93"/>
              </w:rPr>
              <w:t>21.53</w:t>
            </w:r>
          </w:p>
        </w:tc>
      </w:tr>
      <w:tr>
        <w:trPr>
          <w:trHeight w:val="27"/>
        </w:trPr>
        <w:tc>
          <w:tcPr>
            <w:tcW w:w="5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Nonvested, July 31, 2020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2,041,093</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20.84</w:t>
            </w:r>
          </w:p>
        </w:tc>
      </w:tr>
      <w:tr>
        <w:trPr>
          <w:trHeight w:val="20"/>
        </w:trPr>
        <w:tc>
          <w:tcPr>
            <w:tcW w:w="5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60" w:right="4780" w:hanging="5344"/>
        <w:spacing w:after="0" w:line="535" w:lineRule="auto"/>
        <w:tabs>
          <w:tab w:leader="none" w:pos="554" w:val="left"/>
        </w:tabs>
        <w:numPr>
          <w:ilvl w:val="0"/>
          <w:numId w:val="97"/>
        </w:numPr>
        <w:rPr>
          <w:rFonts w:ascii="Arial" w:cs="Arial" w:eastAsia="Arial" w:hAnsi="Arial"/>
          <w:sz w:val="13"/>
          <w:szCs w:val="13"/>
          <w:color w:val="auto"/>
        </w:rPr>
      </w:pPr>
      <w:r>
        <w:rPr>
          <w:rFonts w:ascii="Arial" w:cs="Arial" w:eastAsia="Arial" w:hAnsi="Arial"/>
          <w:sz w:val="16"/>
          <w:szCs w:val="16"/>
          <w:color w:val="auto"/>
        </w:rPr>
        <w:t>Includes 17,500 RSUs that were not issued and outstanding as of July 31, 2020. F-61</w:t>
      </w:r>
    </w:p>
    <w:p>
      <w:pPr>
        <w:sectPr>
          <w:pgSz w:w="11900" w:h="16838" w:orient="portrait"/>
          <w:cols w:equalWidth="0" w:num="1">
            <w:col w:w="11060"/>
          </w:cols>
          <w:pgMar w:left="320" w:top="459"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135"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The RSUs granted prior to the IPO vest upon the satisfaction of both a service-based, generally over 4 years, vesting 25% annually, and liquidity event-based vesting condition. For RSUs granted to the non-employee members of the Board of Directors, some vest in less than a year, some annually and some over three years. The liquidity event-based condition was satisfied upon the completion of the IPO and the Company recognized an expense of $12.2 million in cost of revenues and operating expenses for RSUs as of that date, using the accelerated attribution recognition method.</w:t>
      </w:r>
    </w:p>
    <w:p>
      <w:pPr>
        <w:spacing w:after="0" w:line="15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As of July 31, 2020, total unrecognized compensation expense related to non-vested RSUs was $30.7 million, adjusted for estimated forfeitures, based on the estimated fair value of the Company’s common stock at the time of grant. The weighted-average period to be recognized is 3.52 years.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In July 2020, the Board of Directors adopted and stockholders approved the Employee Stock Purchase Plan (the “ESPP”), which became effective immediately prior to the closing of the IPO. The ESPP includes two components, one component is intended to qualify as an “employee stock purchase plan” within the meaning of Section 423 of the Internal Revenue Code (the “Code) and a component that does not qualify as an “employee stock purchase plan” under Section 423 of the Code. The ESPP initially reserved and authorized the issuance of up to a total of 1,800,000 shares of common stock to participating employees. The aggregate number of shares of the Company’s common stock under the ESPP will automatically increase on the first day of each fiscal year, beginning with the first fiscal year ending January 31, 2022 and continuing until the fiscal year ended January 31, 2031, by an amount equal to the lesser of (i) 1% of the shares of the Company’s common stock issued and outstanding on January 31 of the immediately preceding fiscal year, (ii) 1,800,000 shares of the Company’s common stock or (iii) an amount determined by the Board of Directors. As of July 31, 2020, 1,800,000 shares of common stock remain available for grant under the ESPP.</w:t>
      </w:r>
    </w:p>
    <w:p>
      <w:pPr>
        <w:spacing w:after="0" w:line="181"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The ESPP permits employees to purchase the Company’s common stock through payroll deductions during six month offerings. The offering periods begin each January 1 and July 1, or such other period determined by the compensation committee. Eligible employees will purchase the shares at a price per share equal to the lesser of (i) 85% of the fair market value of a share of the Company’s common stock on the first business day of such offering period and (ii) 85% of the fair market value of share of the Company’s common stock on the last business day of such offering period, although the compensation committee has discretion to change the purchase price with respect to future offering periods, subject to terms of the ESPP.</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70"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70"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Commitments and Contingencies (Continued)</w:t>
      </w:r>
    </w:p>
    <w:p>
      <w:pPr>
        <w:spacing w:after="0" w:line="135"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Total lease expense amounted to $2.1 million and $2.7 million for the three months ended July 31, 2019 and 2020, respectively and $3.9 million and $5.4 million for the six months ended July 31, 2019 and 2020,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Related-Party Transactions</w:t>
      </w:r>
    </w:p>
    <w:p>
      <w:pPr>
        <w:spacing w:after="0" w:line="121"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The Company’s main vendor is also an equity holder in the Company. Total payments related to the agreement with the related party are disclosed in Note 8.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$0.3 million and $0.3 million for the three months ended July 31, 2019 and 2020, respectively, and $0.5 million and $0.6 million for the six months ended July 31, 2019 and 2020, respectively and $1.1 million and $0.5 million were in prepaid expenses and other current assets as of January 31, 2020 and July 31, 2020, respectively. Accounts payable to the related party were $3.3 million and $4.0 million at January 31, 2020 and July 31, 2020, respectively, included in accounts payable, related parties.</w:t>
      </w:r>
    </w:p>
    <w:p>
      <w:pPr>
        <w:spacing w:after="0" w:line="178"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In the quarter ended July 31, 2020 certain equity holders no longer qualified as a related party of the Company and the amounts disclosed related to them are presented through April 30, 2020 only. Included in revenues from three equity holders, who are also customers of the Company, are $2.1 million and $0.0 million for the three months ended July 31, 2019 and 2020, respectively, and $4.3 million and $2.8 million for the six months ended July 31, 2019 and 2020, respectively. Deferred revenue, current portion, related parties was $8.0 million and $0.0 million as of January 31, 2020 and July 31, 2020, respectively. Accounts receivable, related parties was $9.2 million and $0.0 million as of January 31, 2020 and July 31, 2020, respectively.</w:t>
      </w:r>
    </w:p>
    <w:p>
      <w:pPr>
        <w:spacing w:after="0" w:line="192"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The Company has a banking relationship with one of its equity holders who was formerly considered a related party. In the quarter ended July 31, 2020, the equity holder no longer qualifies as a related party of the Company and the amounts disclosed related to such equity holder are presented as a related party through April 30, 2020, only. Included in interest income is $0.2 million and $0.0 million for the three months ended July 31, 2019 and 2020, respectively, and $0.4 million and $0.1 million for the six months ended July 31, 2019 and 2020, respectively.</w:t>
      </w:r>
    </w:p>
    <w:p>
      <w:pPr>
        <w:spacing w:after="0" w:line="15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Company made an agreement with one of its equity holders in May 2016 to spend an agreed-upon amount of funds over a three-year period to further the alliance between the two companies. In July 2019, the agreement was extended for an additional three years. As of July 31, 2020, the Company was in compliance with</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040"/>
          </w:cols>
          <w:pgMar w:left="320" w:top="459" w:right="5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Related-Party Transactions (Continued)</w:t>
      </w:r>
    </w:p>
    <w:p>
      <w:pPr>
        <w:spacing w:after="0" w:line="135"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terms of the agreement. In the quarter ended July 31, 2020, the equity holder no longer qualifies as a related party of the Company and the amounts disclosed related to such equity holder are presented as a related party through April 30, 2020, only. There were no amounts spent for the three months ended July 31, 2019 and 2020 and $0.02 million and $0.0 million for the six months ended July 31, 2019 and 2020, respectively. As of July 31, 2020, there was a $0.2 million obligation remaining which is expected to be fulfilled within one year.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Basic and Diluted Loss per Share</w:t>
      </w:r>
    </w:p>
    <w:p>
      <w:pPr>
        <w:spacing w:after="0" w:line="121"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three months ended July 31, 2019 and 2020 and for the six months ended July 31, 2019 and 2020 is the same as the basic loss per share as there was a net loss for those periods, and inclusion of potentially issuable shares was anti-dilutive.</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10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320" w:type="dxa"/>
            <w:vAlign w:val="bottom"/>
            <w:gridSpan w:val="5"/>
          </w:tcPr>
          <w:p>
            <w:pPr>
              <w:jc w:val="right"/>
              <w:ind w:right="720"/>
              <w:spacing w:after="0"/>
              <w:rPr>
                <w:sz w:val="20"/>
                <w:szCs w:val="20"/>
                <w:color w:val="auto"/>
              </w:rPr>
            </w:pPr>
            <w:r>
              <w:rPr>
                <w:rFonts w:ascii="Arial" w:cs="Arial" w:eastAsia="Arial" w:hAnsi="Arial"/>
                <w:sz w:val="14"/>
                <w:szCs w:val="14"/>
                <w:color w:val="auto"/>
              </w:rPr>
              <w:t>Six Months Ended</w:t>
            </w:r>
          </w:p>
        </w:tc>
      </w:tr>
      <w:tr>
        <w:trPr>
          <w:trHeight w:val="167"/>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July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July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2019</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2020</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2019</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(8,502)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(11,921)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(19,415)</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8"/>
              </w:rPr>
              <w:t>76,420,098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84,629,777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8"/>
              </w:rPr>
              <w:t>76,206,900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83,112,132</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Basic loss per share attributable to nCino,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8"/>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8"/>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Dilutive loss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(8,502)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(11,921)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(19,415)</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8"/>
              </w:rPr>
              <w:t>76,420,098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84,629,777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8"/>
              </w:rPr>
              <w:t>76,206,900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83,112,132</w:t>
            </w: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Dilutive loss per share attributable to nCino,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8"/>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8"/>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r>
    </w:tbl>
    <w:p>
      <w:pPr>
        <w:spacing w:after="0" w:line="18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color w:val="auto"/>
              </w:rPr>
              <w:t>July 31,</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color w:val="auto"/>
              </w:rPr>
              <w:t>2019</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2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8,008,329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7,464,094</w:t>
            </w:r>
          </w:p>
        </w:tc>
        <w:tc>
          <w:tcPr>
            <w:tcW w:w="40" w:type="dxa"/>
            <w:vAlign w:val="bottom"/>
            <w:shd w:val="clear" w:color="auto" w:fill="CCEEFF"/>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Nonvested RSUs issued and outstanding</w:t>
            </w:r>
          </w:p>
        </w:tc>
        <w:tc>
          <w:tcPr>
            <w:tcW w:w="2540" w:type="dxa"/>
            <w:vAlign w:val="bottom"/>
          </w:tcPr>
          <w:p>
            <w:pPr>
              <w:spacing w:after="0"/>
              <w:rPr>
                <w:sz w:val="20"/>
                <w:szCs w:val="20"/>
                <w:color w:val="auto"/>
              </w:rPr>
            </w:pPr>
          </w:p>
        </w:tc>
        <w:tc>
          <w:tcPr>
            <w:tcW w:w="15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2,041,093</w:t>
            </w:r>
          </w:p>
        </w:tc>
      </w:tr>
      <w:tr>
        <w:trPr>
          <w:trHeight w:val="350"/>
        </w:trPr>
        <w:tc>
          <w:tcPr>
            <w:tcW w:w="3460" w:type="dxa"/>
            <w:vAlign w:val="bottom"/>
          </w:tcPr>
          <w:p>
            <w:pPr>
              <w:spacing w:after="0"/>
              <w:rPr>
                <w:sz w:val="24"/>
                <w:szCs w:val="24"/>
                <w:color w:val="auto"/>
              </w:rPr>
            </w:pPr>
          </w:p>
        </w:tc>
        <w:tc>
          <w:tcPr>
            <w:tcW w:w="4040" w:type="dxa"/>
            <w:vAlign w:val="bottom"/>
            <w:gridSpan w:val="4"/>
          </w:tcPr>
          <w:p>
            <w:pPr>
              <w:ind w:left="560"/>
              <w:spacing w:after="0"/>
              <w:rPr>
                <w:sz w:val="20"/>
                <w:szCs w:val="20"/>
                <w:color w:val="auto"/>
              </w:rPr>
            </w:pPr>
            <w:r>
              <w:rPr>
                <w:rFonts w:ascii="Arial" w:cs="Arial" w:eastAsia="Arial" w:hAnsi="Arial"/>
                <w:sz w:val="18"/>
                <w:szCs w:val="18"/>
                <w:color w:val="auto"/>
              </w:rPr>
              <w:t>F-64</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220345</wp:posOffset>
            </wp:positionV>
            <wp:extent cx="6986270" cy="91039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86270" cy="9103995"/>
                    </a:xfrm>
                    <a:prstGeom prst="rect">
                      <a:avLst/>
                    </a:prstGeom>
                    <a:noFill/>
                  </pic:spPr>
                </pic:pic>
              </a:graphicData>
            </a:graphic>
          </wp:anchor>
        </w:drawing>
      </w:r>
    </w:p>
    <w:p>
      <w:pPr>
        <w:sectPr>
          <w:pgSz w:w="11900" w:h="16838" w:orient="portrait"/>
          <w:cols w:equalWidth="0" w:num="1">
            <w:col w:w="11060"/>
          </w:cols>
          <w:pgMar w:left="320" w:top="459" w:right="519" w:bottom="6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1"/>
          <w:szCs w:val="11"/>
          <w:color w:val="FFFFFF"/>
        </w:rPr>
        <w:t>nCino was built on</w:t>
      </w:r>
      <w:r>
        <w:rPr>
          <w:rFonts w:ascii="Arial" w:cs="Arial" w:eastAsia="Arial" w:hAnsi="Arial"/>
          <w:sz w:val="20"/>
          <w:szCs w:val="20"/>
          <w:color w:val="FFFFFF"/>
          <w:vertAlign w:val="subscript"/>
        </w:rPr>
        <w:t>company</w:t>
      </w:r>
      <w:r>
        <w:rPr>
          <w:rFonts w:ascii="Arial" w:cs="Arial" w:eastAsia="Arial" w:hAnsi="Arial"/>
          <w:sz w:val="11"/>
          <w:szCs w:val="11"/>
          <w:color w:val="FFFFFF"/>
        </w:rPr>
        <w:t>foundation of culture. As a company, we are in the business of fundamentally changing the way financial institutions operate. In order to transform an entire industry, we believe it is</w:t>
      </w:r>
    </w:p>
    <w:p>
      <w:pPr>
        <w:ind w:left="1660"/>
        <w:spacing w:after="0" w:line="189" w:lineRule="auto"/>
        <w:tabs>
          <w:tab w:leader="none" w:pos="1640" w:val="left"/>
        </w:tabs>
        <w:rPr>
          <w:sz w:val="20"/>
          <w:szCs w:val="20"/>
          <w:color w:val="auto"/>
        </w:rPr>
      </w:pPr>
      <w:r>
        <w:rPr>
          <w:rFonts w:ascii="Arial" w:cs="Arial" w:eastAsia="Arial" w:hAnsi="Arial"/>
          <w:sz w:val="7"/>
          <w:szCs w:val="7"/>
          <w:color w:val="FFFFFF"/>
        </w:rPr>
        <w:t>essential to have</w:t>
      </w:r>
      <w:r>
        <w:rPr>
          <w:sz w:val="20"/>
          <w:szCs w:val="20"/>
          <w:color w:val="auto"/>
        </w:rPr>
        <w:tab/>
      </w:r>
      <w:r>
        <w:rPr>
          <w:rFonts w:ascii="Arial" w:cs="Arial" w:eastAsia="Arial" w:hAnsi="Arial"/>
          <w:sz w:val="7"/>
          <w:szCs w:val="7"/>
          <w:color w:val="FFFFFF"/>
        </w:rPr>
        <w:t>culture that not only empowers its employees to challenge the status quo, but emboldens them to drive change, trusts them to do the right thing, and fosters collaboration</w:t>
      </w:r>
    </w:p>
    <w:p>
      <w:pPr>
        <w:ind w:left="120"/>
        <w:spacing w:after="0"/>
        <w:rPr>
          <w:sz w:val="20"/>
          <w:szCs w:val="20"/>
          <w:color w:val="auto"/>
        </w:rPr>
      </w:pPr>
      <w:r>
        <w:rPr>
          <w:rFonts w:ascii="Arial" w:cs="Arial" w:eastAsia="Arial" w:hAnsi="Arial"/>
          <w:sz w:val="13"/>
          <w:szCs w:val="13"/>
          <w:color w:val="FFFFFF"/>
        </w:rPr>
        <w:t>across all stakeholders. - P I E R R E N A U D É , P R E S I D E N T &amp; C E O</w:t>
      </w:r>
    </w:p>
    <w:p>
      <w:pPr>
        <w:sectPr>
          <w:pgSz w:w="11900" w:h="16838" w:orient="portrait"/>
          <w:cols w:equalWidth="0" w:num="1">
            <w:col w:w="11060"/>
          </w:cols>
          <w:pgMar w:left="320" w:top="459" w:right="519" w:bottom="688" w:gutter="0" w:footer="0" w:header="0"/>
          <w:type w:val="continuous"/>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220345</wp:posOffset>
            </wp:positionV>
            <wp:extent cx="6986270" cy="91039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86270" cy="9103995"/>
                    </a:xfrm>
                    <a:prstGeom prst="rect">
                      <a:avLst/>
                    </a:prstGeom>
                    <a:noFill/>
                  </pic:spPr>
                </pic:pic>
              </a:graphicData>
            </a:graphic>
          </wp:anchor>
        </w:drawing>
      </w:r>
    </w:p>
    <w:p>
      <w:pPr>
        <w:sectPr>
          <w:pgSz w:w="11900" w:h="16838" w:orient="portrait"/>
          <w:cols w:equalWidth="0" w:num="1">
            <w:col w:w="10139"/>
          </w:cols>
          <w:pgMar w:left="320" w:top="459" w:right="1440" w:bottom="7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WILMINGTON SALT LAKE CITY TORONTO LONDON MELBOURNE SYDNEY TOKYO</w:t>
      </w:r>
    </w:p>
    <w:p>
      <w:pPr>
        <w:sectPr>
          <w:pgSz w:w="11900" w:h="16838" w:orient="portrait"/>
          <w:cols w:equalWidth="0" w:num="1">
            <w:col w:w="10139"/>
          </w:cols>
          <w:pgMar w:left="320" w:top="459" w:right="1440" w:bottom="740" w:gutter="0" w:footer="0" w:header="0"/>
          <w:type w:val="continuous"/>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following table sets forth all expenses to be paid by the registrant, other than estimated underwriting discounts and commissions, in connection with this offering. All amounts shown are estimates except for the Securities and Exchange Commission registration fee, the FINRA filing fee and the exchange listing fee: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Amount</w:t>
            </w:r>
          </w:p>
        </w:tc>
      </w:t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8"/>
              </w:rPr>
              <w:t>to be Paid</w:t>
            </w: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0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54,508</w:t>
            </w:r>
          </w:p>
        </w:tc>
      </w:tr>
      <w:tr>
        <w:trPr>
          <w:trHeight w:val="216"/>
        </w:trPr>
        <w:tc>
          <w:tcPr>
            <w:tcW w:w="1022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75,452</w:t>
            </w:r>
          </w:p>
        </w:tc>
      </w:tr>
      <w:tr>
        <w:trPr>
          <w:trHeight w:val="216"/>
        </w:trPr>
        <w:tc>
          <w:tcPr>
            <w:tcW w:w="10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225,000</w:t>
            </w:r>
          </w:p>
        </w:tc>
      </w:tr>
      <w:tr>
        <w:trPr>
          <w:trHeight w:val="216"/>
        </w:trPr>
        <w:tc>
          <w:tcPr>
            <w:tcW w:w="1022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300,000</w:t>
            </w:r>
          </w:p>
        </w:tc>
      </w:tr>
      <w:tr>
        <w:trPr>
          <w:trHeight w:val="216"/>
        </w:trPr>
        <w:tc>
          <w:tcPr>
            <w:tcW w:w="10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150,000</w:t>
            </w:r>
          </w:p>
        </w:tc>
      </w:tr>
      <w:tr>
        <w:trPr>
          <w:trHeight w:val="216"/>
        </w:trPr>
        <w:tc>
          <w:tcPr>
            <w:tcW w:w="10220" w:type="dxa"/>
            <w:vAlign w:val="bottom"/>
            <w:gridSpan w:val="3"/>
          </w:tcPr>
          <w:p>
            <w:pPr>
              <w:spacing w:after="0"/>
              <w:rPr>
                <w:sz w:val="20"/>
                <w:szCs w:val="20"/>
                <w:color w:val="auto"/>
              </w:rPr>
            </w:pPr>
            <w:r>
              <w:rPr>
                <w:rFonts w:ascii="Arial" w:cs="Arial" w:eastAsia="Arial" w:hAnsi="Arial"/>
                <w:sz w:val="18"/>
                <w:szCs w:val="18"/>
                <w:color w:val="auto"/>
              </w:rPr>
              <w:t>Transfer agent and registrar fees</w:t>
            </w: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10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35,040</w:t>
            </w:r>
          </w:p>
        </w:tc>
      </w:tr>
      <w:tr>
        <w:trPr>
          <w:trHeight w:val="223"/>
        </w:trPr>
        <w:tc>
          <w:tcPr>
            <w:tcW w:w="220" w:type="dxa"/>
            <w:vAlign w:val="bottom"/>
          </w:tcPr>
          <w:p>
            <w:pPr>
              <w:spacing w:after="0"/>
              <w:rPr>
                <w:sz w:val="19"/>
                <w:szCs w:val="19"/>
                <w:color w:val="auto"/>
              </w:rPr>
            </w:pPr>
          </w:p>
        </w:tc>
        <w:tc>
          <w:tcPr>
            <w:tcW w:w="10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850,000</w:t>
            </w: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50"/>
        </w:trPr>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0" w:type="dxa"/>
            <w:vAlign w:val="bottom"/>
            <w:gridSpan w:val="2"/>
          </w:tcPr>
          <w:p>
            <w:pPr>
              <w:ind w:left="200"/>
              <w:spacing w:after="0"/>
              <w:rPr>
                <w:sz w:val="20"/>
                <w:szCs w:val="20"/>
                <w:color w:val="auto"/>
              </w:rPr>
            </w:pPr>
            <w:r>
              <w:rPr>
                <w:rFonts w:ascii="Arial" w:cs="Arial" w:eastAsia="Arial" w:hAnsi="Arial"/>
                <w:sz w:val="18"/>
                <w:szCs w:val="18"/>
                <w:color w:val="auto"/>
              </w:rPr>
              <w:t>To be completed by amendment</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nCino, Inc. is incorporated under the laws of the State of Delaware. Reference is made to Section 102(b)(7) of the General Corporation Law of the State of Delaware, as amended (the “DGCL”), which enables a corporation in its original certificate of incorporation or an amendment thereto to eliminate or limit the personal liability of a director for violations of the director’s fiduciary duty, except (1) for any breach of the director’s duty of loyalty to the corporation or its stockholders, (2) for acts or omissions not in good faith or which involve intentional misconduct or a knowing violation of law, (3) pursuant to Section 174 of the DGCL, which provides for liability of directors for unlawful payments of dividends or unlawful stock purchase or redemptions or (4) for any transaction from which the director derived an improper personal benefit.</w:t>
      </w:r>
    </w:p>
    <w:p>
      <w:pPr>
        <w:spacing w:after="0" w:line="178"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 circumstances of the case, he or she is fairly and reasonably entitled to indemnity for such expenses which the adjudicating court shall deem proper.</w:t>
      </w:r>
    </w:p>
    <w:p>
      <w:pPr>
        <w:spacing w:after="0" w:line="16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8"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Our amended and restated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our charter provides that if the DGCL is amended to authorize the further elimination or limitation of the liability of directors, then the liability of a director of our company shall be eliminated or limited to the fullest extent permitted by the DGCL, as so amended.</w:t>
      </w:r>
    </w:p>
    <w:p>
      <w:pPr>
        <w:spacing w:after="0" w:line="19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Our charter further provides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Our amended and restated certificate of incorporation provides that we shall indemnify each of our directors and executive officers, and shall have power to indemnify our other officers, employees and agents, to the fullest extent permitted by the DGCL as the same may be amended (except that in the case of an amendment, only to the extent that the amendment permits us to provide broader indemnification rights than the DGCL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We expect the amended and restated certificate of incorporation will further provide for the advancement of expenses to each of our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174"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In addition, our amended and restated certificate of incorporation provides that the right of each of our directors and officers to indemnification and advancement of expenses shall not be exclusive of any other right now possessed or hereafter acquired under any statute, provision of the charter or bylaws, agreement, vote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stockholders or otherwise. Furthermore, our amended and restated certificate of incorporation authorizes us to provide insurance for our directors, officers, employees and agents against any liability, whether or not we would have the power to indemnify such person against such liability under the DGCL or the bylaws.</w:t>
      </w:r>
    </w:p>
    <w:p>
      <w:pPr>
        <w:spacing w:after="0" w:line="184" w:lineRule="exact"/>
        <w:rPr>
          <w:sz w:val="20"/>
          <w:szCs w:val="20"/>
          <w:color w:val="auto"/>
        </w:rPr>
      </w:pPr>
    </w:p>
    <w:p>
      <w:pPr>
        <w:jc w:val="both"/>
        <w:ind w:left="120" w:right="180" w:firstLine="881"/>
        <w:spacing w:after="0" w:line="342" w:lineRule="auto"/>
        <w:rPr>
          <w:sz w:val="20"/>
          <w:szCs w:val="20"/>
          <w:color w:val="auto"/>
        </w:rPr>
      </w:pPr>
      <w:r>
        <w:rPr>
          <w:rFonts w:ascii="Arial" w:cs="Arial" w:eastAsia="Arial" w:hAnsi="Arial"/>
          <w:sz w:val="16"/>
          <w:szCs w:val="16"/>
          <w:color w:val="auto"/>
        </w:rPr>
        <w:t>We have entered into indemnification agreements with each of our directors and our executive officers. These agreements provide that we will indemnify each of our directors and such officers to the fullest extent permitted by law and our amended and restated certificate of incorporation.</w:t>
      </w:r>
    </w:p>
    <w:p>
      <w:pPr>
        <w:spacing w:after="0" w:line="124"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In any underwriting agreement we will enter into in connection with the sale of the common stock being registered hereby, the underwriters will agree to indemnify, under certain conditions, us, our directors, our officers and persons who control us within the meaning of the Securities Act, against certain liabilities.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Issuances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the three years preceding the filing of this registration statement, the registrant has sold and issued the following unregistered securities: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Issuances</w:t>
      </w:r>
    </w:p>
    <w:p>
      <w:pPr>
        <w:spacing w:after="0" w:line="225"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In May 2016, we sold an aggregate of 3,482,399 shares of our common stock to 12 accredited investors at a purchase price of $4.50 per share for an aggregate purchase price of $15.7 million.</w:t>
      </w:r>
    </w:p>
    <w:p>
      <w:pPr>
        <w:spacing w:after="0" w:line="170"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In July 2017, we sold an aggregate of 1,784,700 shares of our common stock to three accredited investors at a purchase price of $10.00 per share for an aggregate purchase price of $17.8 million.</w:t>
      </w:r>
    </w:p>
    <w:p>
      <w:pPr>
        <w:spacing w:after="0" w:line="170"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In January 2018, we sold an aggregate of 3,958,354 shares of our common stock to two accredited investors at a purchase price of $13.00 per share for an aggregate purchase price of $51.5 million.</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In September 2019, we sold an aggregate of 3,678,161 shares of our common stock to two accredited investors at a purchase price of $21.75 per share for an aggregate purchase price of $80.0 million.</w:t>
      </w:r>
    </w:p>
    <w:p>
      <w:pPr>
        <w:spacing w:after="0" w:line="170"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The issuances described above were exempt from registration under the Securities Act (or Regulation D promulgated thereunder) by virtue of Section 4(a)(2) of the Securities Act as transactions by an issuer not involving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and RSU Issuances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From January 1, 2017 through the filing date of this registration statement, we granted to our directors, officers, employees, consultants and other service providers options to purchase an aggregate of 7,658,986 shares of our common stock under our equity compensation plans at exercise prices ranging from approximately $4.98 to $21.75 per share.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The option and RSU issuances described above were exempt from registration under the Securities Act under either (1) Rule 701 in that the transactions were under compensatory benefit plans and contracts relating to compensation as provided under Rule 701 or (2) Section 4(a)(2) of the Securities Act as transactions by an issuer not involving any public offering. The recipients of such securities were the registrant’s employees, consultants or directors and received the securities under the registrant’s equity compensation plans.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Schedules not listed have been omitted because the information required to be set forth therein is not applicable, not material or is shown in the financial statements or notes thereto.</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20" w:right="740" w:firstLine="881"/>
        <w:spacing w:after="0" w:line="34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undersigned registrant hereby undertakes that:</w:t>
      </w:r>
    </w:p>
    <w:p>
      <w:pPr>
        <w:spacing w:after="0" w:line="252" w:lineRule="exact"/>
        <w:rPr>
          <w:sz w:val="20"/>
          <w:szCs w:val="20"/>
          <w:color w:val="auto"/>
        </w:rPr>
      </w:pPr>
    </w:p>
    <w:p>
      <w:pPr>
        <w:ind w:left="1420" w:hanging="427"/>
        <w:spacing w:after="0" w:line="291" w:lineRule="auto"/>
        <w:tabs>
          <w:tab w:leader="none" w:pos="14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w:t>
      </w:r>
    </w:p>
    <w:p>
      <w:pPr>
        <w:ind w:left="1420" w:right="360"/>
        <w:spacing w:after="0" w:line="260" w:lineRule="auto"/>
        <w:rPr>
          <w:rFonts w:ascii="Arial" w:cs="Arial" w:eastAsia="Arial" w:hAnsi="Arial"/>
          <w:sz w:val="16"/>
          <w:szCs w:val="16"/>
          <w:color w:val="auto"/>
        </w:rPr>
      </w:pPr>
      <w:r>
        <w:rPr>
          <w:rFonts w:ascii="Arial" w:cs="Arial" w:eastAsia="Arial" w:hAnsi="Arial"/>
          <w:sz w:val="18"/>
          <w:szCs w:val="18"/>
          <w:color w:val="auto"/>
        </w:rPr>
        <w:t>(1) or (4) or 497(h) under the Securities Act shall be deemed to be part of this registration statement as of the time it was declared effective.</w:t>
      </w:r>
    </w:p>
    <w:p>
      <w:pPr>
        <w:spacing w:after="0" w:line="212" w:lineRule="exact"/>
        <w:rPr>
          <w:rFonts w:ascii="Arial" w:cs="Arial" w:eastAsia="Arial" w:hAnsi="Arial"/>
          <w:sz w:val="16"/>
          <w:szCs w:val="16"/>
          <w:color w:val="auto"/>
        </w:rPr>
      </w:pPr>
    </w:p>
    <w:p>
      <w:pPr>
        <w:ind w:left="1420" w:right="20" w:hanging="427"/>
        <w:spacing w:after="0" w:line="263"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3"/>
          </w:tcPr>
          <w:p>
            <w:pPr>
              <w:ind w:left="1160"/>
              <w:spacing w:after="0"/>
              <w:rPr>
                <w:sz w:val="20"/>
                <w:szCs w:val="20"/>
                <w:color w:val="auto"/>
              </w:rPr>
            </w:pPr>
            <w:r>
              <w:rPr>
                <w:rFonts w:ascii="Arial" w:cs="Arial" w:eastAsia="Arial" w:hAnsi="Arial"/>
                <w:sz w:val="18"/>
                <w:szCs w:val="18"/>
                <w:b w:val="1"/>
                <w:bCs w:val="1"/>
                <w:color w:val="auto"/>
              </w:rPr>
              <w:t>EXHIBIT INDEX</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28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6580" w:type="dxa"/>
            <w:vAlign w:val="bottom"/>
            <w:gridSpan w:val="7"/>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Form of Underwriting Agreement.</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6580" w:type="dxa"/>
            <w:vAlign w:val="bottom"/>
            <w:gridSpan w:val="7"/>
          </w:tcPr>
          <w:p>
            <w:pPr>
              <w:spacing w:after="0"/>
              <w:rPr>
                <w:rFonts w:ascii="Arial" w:cs="Arial" w:eastAsia="Arial" w:hAnsi="Arial"/>
                <w:sz w:val="18"/>
                <w:szCs w:val="18"/>
                <w:u w:val="single" w:color="auto"/>
                <w:color w:val="0000EE"/>
              </w:rPr>
            </w:pPr>
            <w:hyperlink r:id="rId243">
              <w:r>
                <w:rPr>
                  <w:rFonts w:ascii="Arial" w:cs="Arial" w:eastAsia="Arial" w:hAnsi="Arial"/>
                  <w:sz w:val="18"/>
                  <w:szCs w:val="18"/>
                  <w:u w:val="single" w:color="auto"/>
                  <w:color w:val="0000EE"/>
                </w:rPr>
                <w:t>Form of Amended and Restated Certificate of Incorporation of nCino, Inc.</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24"/>
                <w:szCs w:val="24"/>
                <w:color w:val="auto"/>
              </w:rPr>
            </w:pPr>
          </w:p>
        </w:tc>
        <w:tc>
          <w:tcPr>
            <w:tcW w:w="6580" w:type="dxa"/>
            <w:vAlign w:val="bottom"/>
            <w:gridSpan w:val="7"/>
          </w:tcPr>
          <w:p>
            <w:pPr>
              <w:spacing w:after="0"/>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Form of Amended and Restated Bylaws of nCino, Inc.</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4.1(2)</w:t>
            </w:r>
          </w:p>
        </w:tc>
        <w:tc>
          <w:tcPr>
            <w:tcW w:w="520" w:type="dxa"/>
            <w:vAlign w:val="bottom"/>
          </w:tcPr>
          <w:p>
            <w:pPr>
              <w:spacing w:after="0"/>
              <w:rPr>
                <w:sz w:val="24"/>
                <w:szCs w:val="24"/>
                <w:color w:val="auto"/>
              </w:rPr>
            </w:pPr>
          </w:p>
        </w:tc>
        <w:tc>
          <w:tcPr>
            <w:tcW w:w="6580" w:type="dxa"/>
            <w:vAlign w:val="bottom"/>
            <w:gridSpan w:val="7"/>
          </w:tcPr>
          <w:p>
            <w:pPr>
              <w:spacing w:after="0"/>
              <w:rPr>
                <w:rFonts w:ascii="Arial" w:cs="Arial" w:eastAsia="Arial" w:hAnsi="Arial"/>
                <w:sz w:val="18"/>
                <w:szCs w:val="18"/>
                <w:u w:val="single" w:color="auto"/>
                <w:color w:val="0000EE"/>
              </w:rPr>
            </w:pPr>
            <w:hyperlink r:id="rId245">
              <w:r>
                <w:rPr>
                  <w:rFonts w:ascii="Arial" w:cs="Arial" w:eastAsia="Arial" w:hAnsi="Arial"/>
                  <w:sz w:val="18"/>
                  <w:szCs w:val="18"/>
                  <w:u w:val="single" w:color="auto"/>
                  <w:color w:val="0000EE"/>
                </w:rPr>
                <w:t>Form of Common Stock Certificate.</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4.2(1)</w:t>
            </w:r>
          </w:p>
        </w:tc>
        <w:tc>
          <w:tcPr>
            <w:tcW w:w="520" w:type="dxa"/>
            <w:vAlign w:val="bottom"/>
          </w:tcPr>
          <w:p>
            <w:pPr>
              <w:spacing w:after="0"/>
              <w:rPr>
                <w:sz w:val="24"/>
                <w:szCs w:val="24"/>
                <w:color w:val="auto"/>
              </w:rPr>
            </w:pPr>
          </w:p>
        </w:tc>
        <w:tc>
          <w:tcPr>
            <w:tcW w:w="9840" w:type="dxa"/>
            <w:vAlign w:val="bottom"/>
            <w:tcBorders>
              <w:bottom w:val="single" w:sz="8" w:color="0000EE"/>
            </w:tcBorders>
            <w:gridSpan w:val="14"/>
          </w:tcPr>
          <w:p>
            <w:pPr>
              <w:spacing w:after="0"/>
              <w:rPr>
                <w:rFonts w:ascii="Arial" w:cs="Arial" w:eastAsia="Arial" w:hAnsi="Arial"/>
                <w:sz w:val="18"/>
                <w:szCs w:val="18"/>
                <w:color w:val="0000EE"/>
                <w:w w:val="90"/>
              </w:rPr>
            </w:pPr>
            <w:hyperlink r:id="rId246">
              <w:r>
                <w:rPr>
                  <w:rFonts w:ascii="Arial" w:cs="Arial" w:eastAsia="Arial" w:hAnsi="Arial"/>
                  <w:sz w:val="18"/>
                  <w:szCs w:val="18"/>
                  <w:color w:val="0000EE"/>
                  <w:w w:val="90"/>
                </w:rPr>
                <w:t>First Amended and Restated Investors’ Rights Agreement, dated February 12, 2015, among nCino, Inc. and certain holders of its capital</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580" w:type="dxa"/>
            <w:vAlign w:val="bottom"/>
            <w:gridSpan w:val="7"/>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stock.</w:t>
              </w:r>
            </w:hyperlink>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4.3(2)</w:t>
            </w:r>
          </w:p>
        </w:tc>
        <w:tc>
          <w:tcPr>
            <w:tcW w:w="520" w:type="dxa"/>
            <w:vAlign w:val="bottom"/>
          </w:tcPr>
          <w:p>
            <w:pPr>
              <w:spacing w:after="0"/>
              <w:rPr>
                <w:sz w:val="24"/>
                <w:szCs w:val="24"/>
                <w:color w:val="auto"/>
              </w:rPr>
            </w:pPr>
          </w:p>
        </w:tc>
        <w:tc>
          <w:tcPr>
            <w:tcW w:w="6580" w:type="dxa"/>
            <w:vAlign w:val="bottom"/>
            <w:gridSpan w:val="7"/>
          </w:tcPr>
          <w:p>
            <w:pPr>
              <w:spacing w:after="0"/>
              <w:rPr>
                <w:rFonts w:ascii="Arial" w:cs="Arial" w:eastAsia="Arial" w:hAnsi="Arial"/>
                <w:sz w:val="18"/>
                <w:szCs w:val="18"/>
                <w:color w:val="0000EE"/>
                <w:w w:val="91"/>
              </w:rPr>
            </w:pPr>
            <w:hyperlink r:id="rId247">
              <w:r>
                <w:rPr>
                  <w:rFonts w:ascii="Arial" w:cs="Arial" w:eastAsia="Arial" w:hAnsi="Arial"/>
                  <w:sz w:val="18"/>
                  <w:szCs w:val="18"/>
                  <w:color w:val="0000EE"/>
                  <w:w w:val="91"/>
                </w:rPr>
                <w:t>First Amendment to First Amended and Restated Investors’ Rights Agreement, dated May</w:t>
              </w:r>
            </w:hyperlink>
          </w:p>
        </w:tc>
        <w:tc>
          <w:tcPr>
            <w:tcW w:w="3260" w:type="dxa"/>
            <w:vAlign w:val="bottom"/>
            <w:gridSpan w:val="7"/>
          </w:tcPr>
          <w:p>
            <w:pPr>
              <w:ind w:left="20"/>
              <w:spacing w:after="0"/>
              <w:rPr>
                <w:rFonts w:ascii="Arial" w:cs="Arial" w:eastAsia="Arial" w:hAnsi="Arial"/>
                <w:sz w:val="18"/>
                <w:szCs w:val="18"/>
                <w:color w:val="0000EE"/>
              </w:rPr>
            </w:pPr>
            <w:hyperlink r:id="rId247">
              <w:r>
                <w:rPr>
                  <w:rFonts w:ascii="Arial" w:cs="Arial" w:eastAsia="Arial" w:hAnsi="Arial"/>
                  <w:sz w:val="18"/>
                  <w:szCs w:val="18"/>
                  <w:color w:val="0000EE"/>
                </w:rPr>
                <w:t>25, 2016, among nCino, Inc. and certain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47">
              <w:r>
                <w:rPr>
                  <w:rFonts w:ascii="Arial" w:cs="Arial" w:eastAsia="Arial" w:hAnsi="Arial"/>
                  <w:sz w:val="18"/>
                  <w:szCs w:val="18"/>
                  <w:color w:val="0000EE"/>
                  <w:w w:val="90"/>
                </w:rPr>
                <w:t>holders of its capital stock.</w:t>
              </w:r>
            </w:hyperlink>
          </w:p>
        </w:tc>
        <w:tc>
          <w:tcPr>
            <w:tcW w:w="4640" w:type="dxa"/>
            <w:vAlign w:val="bottom"/>
            <w:tcBorders>
              <w:top w:val="single" w:sz="8" w:color="0000EE"/>
            </w:tcBorders>
            <w:gridSpan w:val="5"/>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4.4(2)</w:t>
            </w:r>
          </w:p>
        </w:tc>
        <w:tc>
          <w:tcPr>
            <w:tcW w:w="520" w:type="dxa"/>
            <w:vAlign w:val="bottom"/>
          </w:tcPr>
          <w:p>
            <w:pPr>
              <w:spacing w:after="0"/>
              <w:rPr>
                <w:sz w:val="24"/>
                <w:szCs w:val="24"/>
                <w:color w:val="auto"/>
              </w:rPr>
            </w:pPr>
          </w:p>
        </w:tc>
        <w:tc>
          <w:tcPr>
            <w:tcW w:w="9840" w:type="dxa"/>
            <w:vAlign w:val="bottom"/>
            <w:gridSpan w:val="14"/>
          </w:tcPr>
          <w:p>
            <w:pPr>
              <w:spacing w:after="0"/>
              <w:rPr>
                <w:rFonts w:ascii="Arial" w:cs="Arial" w:eastAsia="Arial" w:hAnsi="Arial"/>
                <w:sz w:val="18"/>
                <w:szCs w:val="18"/>
                <w:color w:val="0000EE"/>
                <w:w w:val="92"/>
              </w:rPr>
            </w:pPr>
            <w:hyperlink r:id="rId248">
              <w:r>
                <w:rPr>
                  <w:rFonts w:ascii="Arial" w:cs="Arial" w:eastAsia="Arial" w:hAnsi="Arial"/>
                  <w:sz w:val="18"/>
                  <w:szCs w:val="18"/>
                  <w:color w:val="0000EE"/>
                  <w:w w:val="92"/>
                </w:rPr>
                <w:t>Second Amendment to First Amended and Restated Investors’ Rights Agreement, dated November 23, 2016, among nCino, Inc. and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48">
              <w:r>
                <w:rPr>
                  <w:rFonts w:ascii="Arial" w:cs="Arial" w:eastAsia="Arial" w:hAnsi="Arial"/>
                  <w:sz w:val="18"/>
                  <w:szCs w:val="18"/>
                  <w:color w:val="0000EE"/>
                  <w:w w:val="91"/>
                </w:rPr>
                <w:t>certain holders of its capital stock.</w:t>
              </w:r>
            </w:hyperlink>
          </w:p>
        </w:tc>
        <w:tc>
          <w:tcPr>
            <w:tcW w:w="4080" w:type="dxa"/>
            <w:vAlign w:val="bottom"/>
            <w:tcBorders>
              <w:top w:val="single" w:sz="8" w:color="0000EE"/>
            </w:tcBorders>
            <w:gridSpan w:val="3"/>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4.5(2)</w:t>
            </w:r>
          </w:p>
        </w:tc>
        <w:tc>
          <w:tcPr>
            <w:tcW w:w="520" w:type="dxa"/>
            <w:vAlign w:val="bottom"/>
          </w:tcPr>
          <w:p>
            <w:pPr>
              <w:spacing w:after="0"/>
              <w:rPr>
                <w:sz w:val="24"/>
                <w:szCs w:val="24"/>
                <w:color w:val="auto"/>
              </w:rPr>
            </w:pPr>
          </w:p>
        </w:tc>
        <w:tc>
          <w:tcPr>
            <w:tcW w:w="6580" w:type="dxa"/>
            <w:vAlign w:val="bottom"/>
            <w:gridSpan w:val="7"/>
          </w:tcPr>
          <w:p>
            <w:pPr>
              <w:spacing w:after="0"/>
              <w:rPr>
                <w:rFonts w:ascii="Arial" w:cs="Arial" w:eastAsia="Arial" w:hAnsi="Arial"/>
                <w:sz w:val="18"/>
                <w:szCs w:val="18"/>
                <w:color w:val="0000EE"/>
                <w:w w:val="91"/>
              </w:rPr>
            </w:pPr>
            <w:hyperlink r:id="rId249">
              <w:r>
                <w:rPr>
                  <w:rFonts w:ascii="Arial" w:cs="Arial" w:eastAsia="Arial" w:hAnsi="Arial"/>
                  <w:sz w:val="18"/>
                  <w:szCs w:val="18"/>
                  <w:color w:val="0000EE"/>
                  <w:w w:val="91"/>
                </w:rPr>
                <w:t>Third Amendment to First Amended and Restated Investors’ Rights Agreement, dated July</w:t>
              </w:r>
            </w:hyperlink>
          </w:p>
        </w:tc>
        <w:tc>
          <w:tcPr>
            <w:tcW w:w="3260" w:type="dxa"/>
            <w:vAlign w:val="bottom"/>
            <w:gridSpan w:val="7"/>
          </w:tcPr>
          <w:p>
            <w:pPr>
              <w:ind w:left="60"/>
              <w:spacing w:after="0"/>
              <w:rPr>
                <w:rFonts w:ascii="Arial" w:cs="Arial" w:eastAsia="Arial" w:hAnsi="Arial"/>
                <w:sz w:val="18"/>
                <w:szCs w:val="18"/>
                <w:color w:val="0000EE"/>
                <w:w w:val="99"/>
              </w:rPr>
            </w:pPr>
            <w:hyperlink r:id="rId249">
              <w:r>
                <w:rPr>
                  <w:rFonts w:ascii="Arial" w:cs="Arial" w:eastAsia="Arial" w:hAnsi="Arial"/>
                  <w:sz w:val="18"/>
                  <w:szCs w:val="18"/>
                  <w:color w:val="0000EE"/>
                  <w:w w:val="99"/>
                </w:rPr>
                <w:t>31, 2017, among nCino, Inc. and certain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49">
              <w:r>
                <w:rPr>
                  <w:rFonts w:ascii="Arial" w:cs="Arial" w:eastAsia="Arial" w:hAnsi="Arial"/>
                  <w:sz w:val="18"/>
                  <w:szCs w:val="18"/>
                  <w:color w:val="0000EE"/>
                  <w:w w:val="90"/>
                </w:rPr>
                <w:t>holders of its capital stock.</w:t>
              </w:r>
            </w:hyperlink>
          </w:p>
        </w:tc>
        <w:tc>
          <w:tcPr>
            <w:tcW w:w="4640" w:type="dxa"/>
            <w:vAlign w:val="bottom"/>
            <w:tcBorders>
              <w:top w:val="single" w:sz="8" w:color="0000EE"/>
            </w:tcBorders>
            <w:gridSpan w:val="5"/>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4.6(2)</w:t>
            </w:r>
          </w:p>
        </w:tc>
        <w:tc>
          <w:tcPr>
            <w:tcW w:w="520" w:type="dxa"/>
            <w:vAlign w:val="bottom"/>
          </w:tcPr>
          <w:p>
            <w:pPr>
              <w:spacing w:after="0"/>
              <w:rPr>
                <w:sz w:val="24"/>
                <w:szCs w:val="24"/>
                <w:color w:val="auto"/>
              </w:rPr>
            </w:pPr>
          </w:p>
        </w:tc>
        <w:tc>
          <w:tcPr>
            <w:tcW w:w="9840" w:type="dxa"/>
            <w:vAlign w:val="bottom"/>
            <w:gridSpan w:val="14"/>
          </w:tcPr>
          <w:p>
            <w:pPr>
              <w:spacing w:after="0"/>
              <w:rPr>
                <w:rFonts w:ascii="Arial" w:cs="Arial" w:eastAsia="Arial" w:hAnsi="Arial"/>
                <w:sz w:val="18"/>
                <w:szCs w:val="18"/>
                <w:color w:val="0000EE"/>
                <w:w w:val="95"/>
              </w:rPr>
            </w:pPr>
            <w:hyperlink r:id="rId250">
              <w:r>
                <w:rPr>
                  <w:rFonts w:ascii="Arial" w:cs="Arial" w:eastAsia="Arial" w:hAnsi="Arial"/>
                  <w:sz w:val="18"/>
                  <w:szCs w:val="18"/>
                  <w:color w:val="0000EE"/>
                  <w:w w:val="95"/>
                </w:rPr>
                <w:t>Fourth Amendment to First Amended and Restated Investors’ Rights Agreement, dated January 16, 2018, among nCino, Inc. and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50">
              <w:r>
                <w:rPr>
                  <w:rFonts w:ascii="Arial" w:cs="Arial" w:eastAsia="Arial" w:hAnsi="Arial"/>
                  <w:sz w:val="18"/>
                  <w:szCs w:val="18"/>
                  <w:color w:val="0000EE"/>
                  <w:w w:val="91"/>
                </w:rPr>
                <w:t>certain holders of its capital stock.</w:t>
              </w:r>
            </w:hyperlink>
          </w:p>
        </w:tc>
        <w:tc>
          <w:tcPr>
            <w:tcW w:w="4080" w:type="dxa"/>
            <w:vAlign w:val="bottom"/>
            <w:tcBorders>
              <w:top w:val="single" w:sz="8" w:color="0000EE"/>
            </w:tcBorders>
            <w:gridSpan w:val="3"/>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4.7(2)</w:t>
            </w:r>
          </w:p>
        </w:tc>
        <w:tc>
          <w:tcPr>
            <w:tcW w:w="520" w:type="dxa"/>
            <w:vAlign w:val="bottom"/>
          </w:tcPr>
          <w:p>
            <w:pPr>
              <w:spacing w:after="0"/>
              <w:rPr>
                <w:sz w:val="24"/>
                <w:szCs w:val="24"/>
                <w:color w:val="auto"/>
              </w:rPr>
            </w:pPr>
          </w:p>
        </w:tc>
        <w:tc>
          <w:tcPr>
            <w:tcW w:w="6580" w:type="dxa"/>
            <w:vAlign w:val="bottom"/>
            <w:gridSpan w:val="7"/>
          </w:tcPr>
          <w:p>
            <w:pPr>
              <w:spacing w:after="0"/>
              <w:rPr>
                <w:rFonts w:ascii="Arial" w:cs="Arial" w:eastAsia="Arial" w:hAnsi="Arial"/>
                <w:sz w:val="18"/>
                <w:szCs w:val="18"/>
                <w:color w:val="0000EE"/>
                <w:w w:val="91"/>
              </w:rPr>
            </w:pPr>
            <w:hyperlink r:id="rId251">
              <w:r>
                <w:rPr>
                  <w:rFonts w:ascii="Arial" w:cs="Arial" w:eastAsia="Arial" w:hAnsi="Arial"/>
                  <w:sz w:val="18"/>
                  <w:szCs w:val="18"/>
                  <w:color w:val="0000EE"/>
                  <w:w w:val="91"/>
                </w:rPr>
                <w:t>Fifth Amendment to First Amended and Restated Investors’ Rights Agreement, dated July</w:t>
              </w:r>
            </w:hyperlink>
          </w:p>
        </w:tc>
        <w:tc>
          <w:tcPr>
            <w:tcW w:w="3260" w:type="dxa"/>
            <w:vAlign w:val="bottom"/>
            <w:gridSpan w:val="7"/>
          </w:tcPr>
          <w:p>
            <w:pPr>
              <w:ind w:left="20"/>
              <w:spacing w:after="0"/>
              <w:rPr>
                <w:rFonts w:ascii="Arial" w:cs="Arial" w:eastAsia="Arial" w:hAnsi="Arial"/>
                <w:sz w:val="18"/>
                <w:szCs w:val="18"/>
                <w:color w:val="0000EE"/>
              </w:rPr>
            </w:pPr>
            <w:hyperlink r:id="rId251">
              <w:r>
                <w:rPr>
                  <w:rFonts w:ascii="Arial" w:cs="Arial" w:eastAsia="Arial" w:hAnsi="Arial"/>
                  <w:sz w:val="18"/>
                  <w:szCs w:val="18"/>
                  <w:color w:val="0000EE"/>
                </w:rPr>
                <w:t>12, 2018, among nCino, Inc. and certain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51">
              <w:r>
                <w:rPr>
                  <w:rFonts w:ascii="Arial" w:cs="Arial" w:eastAsia="Arial" w:hAnsi="Arial"/>
                  <w:sz w:val="18"/>
                  <w:szCs w:val="18"/>
                  <w:color w:val="0000EE"/>
                  <w:w w:val="90"/>
                </w:rPr>
                <w:t>holders of its capital stock.</w:t>
              </w:r>
            </w:hyperlink>
          </w:p>
        </w:tc>
        <w:tc>
          <w:tcPr>
            <w:tcW w:w="4640" w:type="dxa"/>
            <w:vAlign w:val="bottom"/>
            <w:tcBorders>
              <w:top w:val="single" w:sz="8" w:color="0000EE"/>
            </w:tcBorders>
            <w:gridSpan w:val="5"/>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4.8(2)</w:t>
            </w:r>
          </w:p>
        </w:tc>
        <w:tc>
          <w:tcPr>
            <w:tcW w:w="520" w:type="dxa"/>
            <w:vAlign w:val="bottom"/>
          </w:tcPr>
          <w:p>
            <w:pPr>
              <w:spacing w:after="0"/>
              <w:rPr>
                <w:sz w:val="24"/>
                <w:szCs w:val="24"/>
                <w:color w:val="auto"/>
              </w:rPr>
            </w:pPr>
          </w:p>
        </w:tc>
        <w:tc>
          <w:tcPr>
            <w:tcW w:w="9840" w:type="dxa"/>
            <w:vAlign w:val="bottom"/>
            <w:gridSpan w:val="14"/>
          </w:tcPr>
          <w:p>
            <w:pPr>
              <w:spacing w:after="0"/>
              <w:rPr>
                <w:rFonts w:ascii="Arial" w:cs="Arial" w:eastAsia="Arial" w:hAnsi="Arial"/>
                <w:sz w:val="18"/>
                <w:szCs w:val="18"/>
                <w:color w:val="0000EE"/>
                <w:w w:val="94"/>
              </w:rPr>
            </w:pPr>
            <w:hyperlink r:id="rId252">
              <w:r>
                <w:rPr>
                  <w:rFonts w:ascii="Arial" w:cs="Arial" w:eastAsia="Arial" w:hAnsi="Arial"/>
                  <w:sz w:val="18"/>
                  <w:szCs w:val="18"/>
                  <w:color w:val="0000EE"/>
                  <w:w w:val="94"/>
                </w:rPr>
                <w:t>Sixth Amendment to First Amended and Restated Investors’ Rights Agreement, dated September 16, 2019, among nCino, Inc. and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52">
              <w:r>
                <w:rPr>
                  <w:rFonts w:ascii="Arial" w:cs="Arial" w:eastAsia="Arial" w:hAnsi="Arial"/>
                  <w:sz w:val="18"/>
                  <w:szCs w:val="18"/>
                  <w:color w:val="0000EE"/>
                  <w:w w:val="91"/>
                </w:rPr>
                <w:t>certain holders of its capital stock.</w:t>
              </w:r>
            </w:hyperlink>
          </w:p>
        </w:tc>
        <w:tc>
          <w:tcPr>
            <w:tcW w:w="4080" w:type="dxa"/>
            <w:vAlign w:val="bottom"/>
            <w:tcBorders>
              <w:top w:val="single" w:sz="8" w:color="0000EE"/>
            </w:tcBorders>
            <w:gridSpan w:val="3"/>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28"/>
              <w:spacing w:after="0"/>
              <w:rPr>
                <w:sz w:val="20"/>
                <w:szCs w:val="20"/>
                <w:color w:val="auto"/>
              </w:rPr>
            </w:pPr>
            <w:r>
              <w:rPr>
                <w:rFonts w:ascii="Arial" w:cs="Arial" w:eastAsia="Arial" w:hAnsi="Arial"/>
                <w:sz w:val="18"/>
                <w:szCs w:val="18"/>
                <w:color w:val="auto"/>
              </w:rPr>
              <w:t>4.9(2)</w:t>
            </w:r>
          </w:p>
        </w:tc>
        <w:tc>
          <w:tcPr>
            <w:tcW w:w="520" w:type="dxa"/>
            <w:vAlign w:val="bottom"/>
          </w:tcPr>
          <w:p>
            <w:pPr>
              <w:spacing w:after="0"/>
              <w:rPr>
                <w:sz w:val="24"/>
                <w:szCs w:val="24"/>
                <w:color w:val="auto"/>
              </w:rPr>
            </w:pPr>
          </w:p>
        </w:tc>
        <w:tc>
          <w:tcPr>
            <w:tcW w:w="9840" w:type="dxa"/>
            <w:vAlign w:val="bottom"/>
            <w:gridSpan w:val="14"/>
          </w:tcPr>
          <w:p>
            <w:pPr>
              <w:spacing w:after="0"/>
              <w:rPr>
                <w:rFonts w:ascii="Arial" w:cs="Arial" w:eastAsia="Arial" w:hAnsi="Arial"/>
                <w:sz w:val="18"/>
                <w:szCs w:val="18"/>
                <w:color w:val="0000EE"/>
                <w:w w:val="91"/>
              </w:rPr>
            </w:pPr>
            <w:hyperlink r:id="rId253">
              <w:r>
                <w:rPr>
                  <w:rFonts w:ascii="Arial" w:cs="Arial" w:eastAsia="Arial" w:hAnsi="Arial"/>
                  <w:sz w:val="18"/>
                  <w:szCs w:val="18"/>
                  <w:color w:val="0000EE"/>
                  <w:w w:val="91"/>
                </w:rPr>
                <w:t>Seventh Amendment to First Amended and Restated Investors’ Rights Agreement, dated September 30, 2019, among nCino, Inc. and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53">
              <w:r>
                <w:rPr>
                  <w:rFonts w:ascii="Arial" w:cs="Arial" w:eastAsia="Arial" w:hAnsi="Arial"/>
                  <w:sz w:val="18"/>
                  <w:szCs w:val="18"/>
                  <w:color w:val="0000EE"/>
                  <w:w w:val="91"/>
                </w:rPr>
                <w:t>certain holders of its capital stock.</w:t>
              </w:r>
            </w:hyperlink>
          </w:p>
        </w:tc>
        <w:tc>
          <w:tcPr>
            <w:tcW w:w="4100" w:type="dxa"/>
            <w:vAlign w:val="bottom"/>
            <w:tcBorders>
              <w:top w:val="single" w:sz="8" w:color="0000EE"/>
            </w:tcBorders>
            <w:gridSpan w:val="4"/>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6580" w:type="dxa"/>
            <w:vAlign w:val="bottom"/>
            <w:gridSpan w:val="7"/>
          </w:tcPr>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Opinion of Sidley Austin LLP.</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10.1+(1)</w:t>
            </w:r>
          </w:p>
        </w:tc>
        <w:tc>
          <w:tcPr>
            <w:tcW w:w="9840" w:type="dxa"/>
            <w:vAlign w:val="bottom"/>
            <w:gridSpan w:val="14"/>
          </w:tcPr>
          <w:p>
            <w:pPr>
              <w:spacing w:after="0"/>
              <w:rPr>
                <w:rFonts w:ascii="Arial" w:cs="Arial" w:eastAsia="Arial" w:hAnsi="Arial"/>
                <w:sz w:val="18"/>
                <w:szCs w:val="18"/>
                <w:u w:val="single" w:color="auto"/>
                <w:color w:val="0000EE"/>
              </w:rPr>
            </w:pPr>
            <w:hyperlink r:id="rId254">
              <w:r>
                <w:rPr>
                  <w:rFonts w:ascii="Arial" w:cs="Arial" w:eastAsia="Arial" w:hAnsi="Arial"/>
                  <w:sz w:val="18"/>
                  <w:szCs w:val="18"/>
                  <w:u w:val="single" w:color="auto"/>
                  <w:color w:val="0000EE"/>
                </w:rPr>
                <w:t>nCino, Inc. 2014 Omnibus Stock Ownership and Long Term Incentive Plan and related form agreements.</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10.2+(2)</w:t>
            </w:r>
          </w:p>
        </w:tc>
        <w:tc>
          <w:tcPr>
            <w:tcW w:w="9840" w:type="dxa"/>
            <w:vAlign w:val="bottom"/>
            <w:gridSpan w:val="14"/>
          </w:tcPr>
          <w:p>
            <w:pPr>
              <w:spacing w:after="0"/>
              <w:rPr>
                <w:rFonts w:ascii="Arial" w:cs="Arial" w:eastAsia="Arial" w:hAnsi="Arial"/>
                <w:sz w:val="18"/>
                <w:szCs w:val="18"/>
                <w:u w:val="single" w:color="auto"/>
                <w:color w:val="0000EE"/>
              </w:rPr>
            </w:pPr>
            <w:hyperlink r:id="rId255">
              <w:r>
                <w:rPr>
                  <w:rFonts w:ascii="Arial" w:cs="Arial" w:eastAsia="Arial" w:hAnsi="Arial"/>
                  <w:sz w:val="18"/>
                  <w:szCs w:val="18"/>
                  <w:u w:val="single" w:color="auto"/>
                  <w:color w:val="0000EE"/>
                </w:rPr>
                <w:t>nCino, Inc. 2019 Amended and Restated Equity Incentive Plan and related form agreements.</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10.3+(2)</w:t>
            </w:r>
          </w:p>
        </w:tc>
        <w:tc>
          <w:tcPr>
            <w:tcW w:w="6580" w:type="dxa"/>
            <w:vAlign w:val="bottom"/>
            <w:gridSpan w:val="7"/>
          </w:tcPr>
          <w:p>
            <w:pPr>
              <w:spacing w:after="0"/>
              <w:rPr>
                <w:rFonts w:ascii="Arial" w:cs="Arial" w:eastAsia="Arial" w:hAnsi="Arial"/>
                <w:sz w:val="18"/>
                <w:szCs w:val="18"/>
                <w:color w:val="0000EE"/>
              </w:rPr>
            </w:pPr>
            <w:hyperlink r:id="rId256">
              <w:r>
                <w:rPr>
                  <w:rFonts w:ascii="Arial" w:cs="Arial" w:eastAsia="Arial" w:hAnsi="Arial"/>
                  <w:sz w:val="18"/>
                  <w:szCs w:val="18"/>
                  <w:u w:val="single" w:color="auto"/>
                  <w:color w:val="0000EE"/>
                </w:rPr>
                <w:t>nCino, Inc. Employee Stock Purchase Plan</w:t>
              </w:r>
              <w:r>
                <w:rPr>
                  <w:rFonts w:ascii="Arial" w:cs="Arial" w:eastAsia="Arial" w:hAnsi="Arial"/>
                  <w:sz w:val="18"/>
                  <w:szCs w:val="18"/>
                  <w:color w:val="0000EE"/>
                </w:rPr>
                <w:t>.</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10.4+(2)</w:t>
            </w:r>
          </w:p>
        </w:tc>
        <w:tc>
          <w:tcPr>
            <w:tcW w:w="6580" w:type="dxa"/>
            <w:vAlign w:val="bottom"/>
            <w:gridSpan w:val="7"/>
          </w:tcPr>
          <w:p>
            <w:pPr>
              <w:spacing w:after="0"/>
              <w:rPr>
                <w:rFonts w:ascii="Arial" w:cs="Arial" w:eastAsia="Arial" w:hAnsi="Arial"/>
                <w:sz w:val="18"/>
                <w:szCs w:val="18"/>
                <w:u w:val="single" w:color="auto"/>
                <w:color w:val="0000EE"/>
              </w:rPr>
            </w:pPr>
            <w:hyperlink r:id="rId257">
              <w:r>
                <w:rPr>
                  <w:rFonts w:ascii="Arial" w:cs="Arial" w:eastAsia="Arial" w:hAnsi="Arial"/>
                  <w:sz w:val="18"/>
                  <w:szCs w:val="18"/>
                  <w:u w:val="single" w:color="auto"/>
                  <w:color w:val="0000EE"/>
                </w:rPr>
                <w:t>Amended and Restated Employment Agreement with Pierre Naudé.</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10.5+(2)</w:t>
            </w:r>
          </w:p>
        </w:tc>
        <w:tc>
          <w:tcPr>
            <w:tcW w:w="6580" w:type="dxa"/>
            <w:vAlign w:val="bottom"/>
            <w:gridSpan w:val="7"/>
          </w:tcPr>
          <w:p>
            <w:pPr>
              <w:spacing w:after="0"/>
              <w:rPr>
                <w:rFonts w:ascii="Arial" w:cs="Arial" w:eastAsia="Arial" w:hAnsi="Arial"/>
                <w:sz w:val="18"/>
                <w:szCs w:val="18"/>
                <w:u w:val="single" w:color="auto"/>
                <w:color w:val="0000EE"/>
              </w:rPr>
            </w:pPr>
            <w:hyperlink r:id="rId258">
              <w:r>
                <w:rPr>
                  <w:rFonts w:ascii="Arial" w:cs="Arial" w:eastAsia="Arial" w:hAnsi="Arial"/>
                  <w:sz w:val="18"/>
                  <w:szCs w:val="18"/>
                  <w:u w:val="single" w:color="auto"/>
                  <w:color w:val="0000EE"/>
                </w:rPr>
                <w:t>Amended and Restated Employment Agreement with David Rudow.</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10.6+(2)</w:t>
            </w:r>
          </w:p>
        </w:tc>
        <w:tc>
          <w:tcPr>
            <w:tcW w:w="6580" w:type="dxa"/>
            <w:vAlign w:val="bottom"/>
            <w:gridSpan w:val="7"/>
          </w:tcPr>
          <w:p>
            <w:pPr>
              <w:spacing w:after="0"/>
              <w:rPr>
                <w:rFonts w:ascii="Arial" w:cs="Arial" w:eastAsia="Arial" w:hAnsi="Arial"/>
                <w:sz w:val="18"/>
                <w:szCs w:val="18"/>
                <w:u w:val="single" w:color="auto"/>
                <w:color w:val="0000EE"/>
              </w:rPr>
            </w:pPr>
            <w:hyperlink r:id="rId259">
              <w:r>
                <w:rPr>
                  <w:rFonts w:ascii="Arial" w:cs="Arial" w:eastAsia="Arial" w:hAnsi="Arial"/>
                  <w:sz w:val="18"/>
                  <w:szCs w:val="18"/>
                  <w:u w:val="single" w:color="auto"/>
                  <w:color w:val="0000EE"/>
                </w:rPr>
                <w:t>Amended and Restated Employment Agreement with Joshua Glover.</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10.7++(1)</w:t>
            </w:r>
          </w:p>
        </w:tc>
        <w:tc>
          <w:tcPr>
            <w:tcW w:w="9840" w:type="dxa"/>
            <w:vAlign w:val="bottom"/>
            <w:gridSpan w:val="14"/>
          </w:tcPr>
          <w:p>
            <w:pPr>
              <w:spacing w:after="0"/>
              <w:rPr>
                <w:rFonts w:ascii="Arial" w:cs="Arial" w:eastAsia="Arial" w:hAnsi="Arial"/>
                <w:sz w:val="18"/>
                <w:szCs w:val="18"/>
                <w:u w:val="single" w:color="auto"/>
                <w:color w:val="0000EE"/>
              </w:rPr>
            </w:pPr>
            <w:hyperlink r:id="rId260">
              <w:r>
                <w:rPr>
                  <w:rFonts w:ascii="Arial" w:cs="Arial" w:eastAsia="Arial" w:hAnsi="Arial"/>
                  <w:sz w:val="18"/>
                  <w:szCs w:val="18"/>
                  <w:u w:val="single" w:color="auto"/>
                  <w:color w:val="0000EE"/>
                </w:rPr>
                <w:t>Partner Application Distribution Agreement by and between Salesforce and the Company, dated June 19, 2020.</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10.8+(2)</w:t>
            </w:r>
          </w:p>
        </w:tc>
        <w:tc>
          <w:tcPr>
            <w:tcW w:w="9840" w:type="dxa"/>
            <w:vAlign w:val="bottom"/>
            <w:gridSpan w:val="14"/>
          </w:tcPr>
          <w:p>
            <w:pPr>
              <w:spacing w:after="0"/>
              <w:rPr>
                <w:rFonts w:ascii="Arial" w:cs="Arial" w:eastAsia="Arial" w:hAnsi="Arial"/>
                <w:sz w:val="18"/>
                <w:szCs w:val="18"/>
                <w:color w:val="0000EE"/>
              </w:rPr>
            </w:pPr>
            <w:hyperlink r:id="rId261">
              <w:r>
                <w:rPr>
                  <w:rFonts w:ascii="Arial" w:cs="Arial" w:eastAsia="Arial" w:hAnsi="Arial"/>
                  <w:sz w:val="18"/>
                  <w:szCs w:val="18"/>
                  <w:u w:val="single" w:color="auto"/>
                  <w:color w:val="0000EE"/>
                </w:rPr>
                <w:t>Form of Indemnification Agreement entered into by and between nCino, Inc. and its directors and executive officers</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w w:val="85"/>
              </w:rPr>
              <w:t>23.1</w:t>
            </w:r>
          </w:p>
        </w:tc>
        <w:tc>
          <w:tcPr>
            <w:tcW w:w="520" w:type="dxa"/>
            <w:vAlign w:val="bottom"/>
          </w:tcPr>
          <w:p>
            <w:pPr>
              <w:spacing w:after="0"/>
              <w:rPr>
                <w:sz w:val="24"/>
                <w:szCs w:val="24"/>
                <w:color w:val="auto"/>
              </w:rPr>
            </w:pPr>
          </w:p>
        </w:tc>
        <w:tc>
          <w:tcPr>
            <w:tcW w:w="6580" w:type="dxa"/>
            <w:vAlign w:val="bottom"/>
            <w:gridSpan w:val="7"/>
          </w:tcPr>
          <w:p>
            <w:pPr>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Consent of Ernst &amp; Young LLP, independent registered public accounting firm.</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w w:val="85"/>
              </w:rPr>
              <w:t>23.2</w:t>
            </w:r>
          </w:p>
        </w:tc>
        <w:tc>
          <w:tcPr>
            <w:tcW w:w="520" w:type="dxa"/>
            <w:vAlign w:val="bottom"/>
          </w:tcPr>
          <w:p>
            <w:pPr>
              <w:spacing w:after="0"/>
              <w:rPr>
                <w:sz w:val="24"/>
                <w:szCs w:val="24"/>
                <w:color w:val="auto"/>
              </w:rPr>
            </w:pPr>
          </w:p>
        </w:tc>
        <w:tc>
          <w:tcPr>
            <w:tcW w:w="6580" w:type="dxa"/>
            <w:vAlign w:val="bottom"/>
            <w:gridSpan w:val="7"/>
          </w:tcPr>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Consent of Sidley Austin LLP (included in Exhibit 5.1).</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w w:val="85"/>
              </w:rPr>
              <w:t>24.1</w:t>
            </w:r>
          </w:p>
        </w:tc>
        <w:tc>
          <w:tcPr>
            <w:tcW w:w="520" w:type="dxa"/>
            <w:vAlign w:val="bottom"/>
          </w:tcPr>
          <w:p>
            <w:pPr>
              <w:spacing w:after="0"/>
              <w:rPr>
                <w:sz w:val="24"/>
                <w:szCs w:val="24"/>
                <w:color w:val="auto"/>
              </w:rPr>
            </w:pPr>
          </w:p>
        </w:tc>
        <w:tc>
          <w:tcPr>
            <w:tcW w:w="6580" w:type="dxa"/>
            <w:vAlign w:val="bottom"/>
            <w:gridSpan w:val="7"/>
          </w:tcPr>
          <w:p>
            <w:pPr>
              <w:spacing w:after="0"/>
              <w:rPr>
                <w:rFonts w:ascii="Arial" w:cs="Arial" w:eastAsia="Arial" w:hAnsi="Arial"/>
                <w:sz w:val="18"/>
                <w:szCs w:val="18"/>
                <w:u w:val="single" w:color="auto"/>
                <w:color w:val="0000EE"/>
                <w:w w:val="99"/>
              </w:rPr>
            </w:pPr>
            <w:hyperlink w:anchor="page212">
              <w:r>
                <w:rPr>
                  <w:rFonts w:ascii="Arial" w:cs="Arial" w:eastAsia="Arial" w:hAnsi="Arial"/>
                  <w:sz w:val="18"/>
                  <w:szCs w:val="18"/>
                  <w:u w:val="single" w:color="auto"/>
                  <w:color w:val="0000EE"/>
                  <w:w w:val="99"/>
                </w:rPr>
                <w:t>Powers of Attorney (included on the signature page to this Registration Statement).</w:t>
              </w:r>
            </w:hyperlink>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Filed on June 22, 2020 with Registration Statement on Form S-1 (No. 333-239335)</w:t>
      </w:r>
    </w:p>
    <w:p>
      <w:pPr>
        <w:spacing w:after="0" w:line="23" w:lineRule="exact"/>
        <w:rPr>
          <w:rFonts w:ascii="Arial" w:cs="Arial" w:eastAsia="Arial" w:hAnsi="Arial"/>
          <w:sz w:val="18"/>
          <w:szCs w:val="18"/>
          <w:color w:val="auto"/>
        </w:rPr>
      </w:pPr>
    </w:p>
    <w:p>
      <w:pPr>
        <w:ind w:left="120" w:right="3120" w:hanging="4"/>
        <w:spacing w:after="0" w:line="250" w:lineRule="auto"/>
        <w:tabs>
          <w:tab w:leader="none" w:pos="5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Filed on July 6, 2020 with Amendment No. 1 to Registration Statement on Form S-1 (No. 333-239335) + Indicates management contract or compensatory plan.</w:t>
      </w:r>
    </w:p>
    <w:p>
      <w:pPr>
        <w:ind w:left="120"/>
        <w:spacing w:after="0"/>
        <w:rPr>
          <w:rFonts w:ascii="Arial" w:cs="Arial" w:eastAsia="Arial" w:hAnsi="Arial"/>
          <w:sz w:val="18"/>
          <w:szCs w:val="18"/>
          <w:color w:val="auto"/>
        </w:rPr>
      </w:pPr>
      <w:r>
        <w:rPr>
          <w:rFonts w:ascii="Arial" w:cs="Arial" w:eastAsia="Arial" w:hAnsi="Arial"/>
          <w:sz w:val="18"/>
          <w:szCs w:val="18"/>
          <w:color w:val="auto"/>
        </w:rPr>
        <w:t>++   Portions of this exhibit have been redacted in accordance with Item 601(b)(10)(iv) of Regulation S-K.</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40" w:firstLine="88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Wilmington, North Carolina, on the 5th day of October, 2020.</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nCino, Inc.</w:t>
      </w:r>
    </w:p>
    <w:p>
      <w:pPr>
        <w:spacing w:after="0" w:line="229" w:lineRule="exact"/>
        <w:rPr>
          <w:sz w:val="20"/>
          <w:szCs w:val="20"/>
          <w:color w:val="auto"/>
        </w:rPr>
      </w:pPr>
    </w:p>
    <w:p>
      <w:pPr>
        <w:ind w:left="67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4517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Pierre Naudé</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Pierre Naudé, David Rudow and Greg Orenstein,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66"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4"/>
                <w:szCs w:val="14"/>
                <w:color w:val="auto"/>
              </w:rPr>
            </w:pPr>
          </w:p>
        </w:tc>
      </w:tr>
      <w:tr>
        <w:trPr>
          <w:trHeight w:val="425"/>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Pierre Naudé</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Director</w:t>
            </w:r>
          </w:p>
        </w:tc>
        <w:tc>
          <w:tcPr>
            <w:tcW w:w="2360" w:type="dxa"/>
            <w:vAlign w:val="bottom"/>
            <w:gridSpan w:val="3"/>
          </w:tcPr>
          <w:p>
            <w:pPr>
              <w:ind w:left="1180"/>
              <w:spacing w:after="0"/>
              <w:rPr>
                <w:sz w:val="20"/>
                <w:szCs w:val="20"/>
                <w:color w:val="auto"/>
              </w:rPr>
            </w:pPr>
            <w:r>
              <w:rPr>
                <w:rFonts w:ascii="Arial" w:cs="Arial" w:eastAsia="Arial" w:hAnsi="Arial"/>
                <w:sz w:val="18"/>
                <w:szCs w:val="18"/>
                <w:color w:val="auto"/>
                <w:w w:val="89"/>
              </w:rPr>
              <w:t>October 5, 2020</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88"/>
              </w:rPr>
              <w:t>Pierre Naudé</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23"/>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David Rudow</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Treasurer</w:t>
            </w:r>
          </w:p>
        </w:tc>
        <w:tc>
          <w:tcPr>
            <w:tcW w:w="2360" w:type="dxa"/>
            <w:vAlign w:val="bottom"/>
            <w:gridSpan w:val="3"/>
          </w:tcPr>
          <w:p>
            <w:pPr>
              <w:ind w:left="1180"/>
              <w:spacing w:after="0"/>
              <w:rPr>
                <w:sz w:val="20"/>
                <w:szCs w:val="20"/>
                <w:color w:val="auto"/>
              </w:rPr>
            </w:pPr>
            <w:r>
              <w:rPr>
                <w:rFonts w:ascii="Arial" w:cs="Arial" w:eastAsia="Arial" w:hAnsi="Arial"/>
                <w:sz w:val="18"/>
                <w:szCs w:val="18"/>
                <w:color w:val="auto"/>
                <w:w w:val="89"/>
              </w:rPr>
              <w:t>October 5, 2020</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5"/>
              </w:rPr>
              <w:t>David Rudow</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Jeanette Sellers</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Vice President of Accounting</w:t>
            </w:r>
          </w:p>
        </w:tc>
        <w:tc>
          <w:tcPr>
            <w:tcW w:w="2360" w:type="dxa"/>
            <w:vAlign w:val="bottom"/>
            <w:gridSpan w:val="3"/>
          </w:tcPr>
          <w:p>
            <w:pPr>
              <w:ind w:left="1180"/>
              <w:spacing w:after="0"/>
              <w:rPr>
                <w:sz w:val="20"/>
                <w:szCs w:val="20"/>
                <w:color w:val="auto"/>
              </w:rPr>
            </w:pPr>
            <w:r>
              <w:rPr>
                <w:rFonts w:ascii="Arial" w:cs="Arial" w:eastAsia="Arial" w:hAnsi="Arial"/>
                <w:sz w:val="18"/>
                <w:szCs w:val="18"/>
                <w:color w:val="auto"/>
                <w:w w:val="89"/>
              </w:rPr>
              <w:t>October 5, 2020</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85"/>
              </w:rPr>
              <w:t>Jeanette Sellers</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Steven Collins</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180"/>
              <w:spacing w:after="0"/>
              <w:rPr>
                <w:sz w:val="20"/>
                <w:szCs w:val="20"/>
                <w:color w:val="auto"/>
              </w:rPr>
            </w:pPr>
            <w:r>
              <w:rPr>
                <w:rFonts w:ascii="Arial" w:cs="Arial" w:eastAsia="Arial" w:hAnsi="Arial"/>
                <w:sz w:val="18"/>
                <w:szCs w:val="18"/>
                <w:color w:val="auto"/>
                <w:w w:val="89"/>
              </w:rPr>
              <w:t>October 5, 2020</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Steven Collins</w:t>
            </w: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Jon Doyle</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180"/>
              <w:spacing w:after="0"/>
              <w:rPr>
                <w:sz w:val="20"/>
                <w:szCs w:val="20"/>
                <w:color w:val="auto"/>
              </w:rPr>
            </w:pPr>
            <w:r>
              <w:rPr>
                <w:rFonts w:ascii="Arial" w:cs="Arial" w:eastAsia="Arial" w:hAnsi="Arial"/>
                <w:sz w:val="18"/>
                <w:szCs w:val="18"/>
                <w:color w:val="auto"/>
                <w:w w:val="89"/>
              </w:rPr>
              <w:t>October 5, 2020</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Jon Doyle</w:t>
            </w: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Jeffrey Horing</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180"/>
              <w:spacing w:after="0"/>
              <w:rPr>
                <w:sz w:val="20"/>
                <w:szCs w:val="20"/>
                <w:color w:val="auto"/>
              </w:rPr>
            </w:pPr>
            <w:r>
              <w:rPr>
                <w:rFonts w:ascii="Arial" w:cs="Arial" w:eastAsia="Arial" w:hAnsi="Arial"/>
                <w:sz w:val="18"/>
                <w:szCs w:val="18"/>
                <w:color w:val="auto"/>
                <w:w w:val="89"/>
              </w:rPr>
              <w:t>October 5, 2020</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4"/>
              </w:rPr>
              <w:t>Jeffrey Horing</w:t>
            </w: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Pam Kilday</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180"/>
              <w:spacing w:after="0"/>
              <w:rPr>
                <w:sz w:val="20"/>
                <w:szCs w:val="20"/>
                <w:color w:val="auto"/>
              </w:rPr>
            </w:pPr>
            <w:r>
              <w:rPr>
                <w:rFonts w:ascii="Arial" w:cs="Arial" w:eastAsia="Arial" w:hAnsi="Arial"/>
                <w:sz w:val="18"/>
                <w:szCs w:val="18"/>
                <w:color w:val="auto"/>
                <w:w w:val="89"/>
              </w:rPr>
              <w:t>October 5, 2020</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4"/>
              </w:rPr>
              <w:t>Pam Kilday</w:t>
            </w: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Spencer Lake</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180"/>
              <w:spacing w:after="0"/>
              <w:rPr>
                <w:sz w:val="20"/>
                <w:szCs w:val="20"/>
                <w:color w:val="auto"/>
              </w:rPr>
            </w:pPr>
            <w:r>
              <w:rPr>
                <w:rFonts w:ascii="Arial" w:cs="Arial" w:eastAsia="Arial" w:hAnsi="Arial"/>
                <w:sz w:val="18"/>
                <w:szCs w:val="18"/>
                <w:color w:val="auto"/>
                <w:w w:val="89"/>
              </w:rPr>
              <w:t>October 5, 2020</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88"/>
              </w:rPr>
              <w:t>Spencer Lake</w:t>
            </w: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Jeffrey Lunsford</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180"/>
              <w:spacing w:after="0"/>
              <w:rPr>
                <w:sz w:val="20"/>
                <w:szCs w:val="20"/>
                <w:color w:val="auto"/>
              </w:rPr>
            </w:pPr>
            <w:r>
              <w:rPr>
                <w:rFonts w:ascii="Arial" w:cs="Arial" w:eastAsia="Arial" w:hAnsi="Arial"/>
                <w:sz w:val="18"/>
                <w:szCs w:val="18"/>
                <w:color w:val="auto"/>
                <w:w w:val="89"/>
              </w:rPr>
              <w:t>October 5, 2020</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Jeffrey Lunsford</w:t>
            </w: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William Ruh</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180"/>
              <w:spacing w:after="0"/>
              <w:rPr>
                <w:sz w:val="20"/>
                <w:szCs w:val="20"/>
                <w:color w:val="auto"/>
              </w:rPr>
            </w:pPr>
            <w:r>
              <w:rPr>
                <w:rFonts w:ascii="Arial" w:cs="Arial" w:eastAsia="Arial" w:hAnsi="Arial"/>
                <w:sz w:val="18"/>
                <w:szCs w:val="18"/>
                <w:color w:val="auto"/>
                <w:w w:val="89"/>
              </w:rPr>
              <w:t>October 5, 2020</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7"/>
              </w:rPr>
              <w:t>William Ruh</w:t>
            </w: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64"/>
        </w:trPr>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760" w:type="dxa"/>
            <w:vAlign w:val="bottom"/>
            <w:gridSpan w:val="3"/>
          </w:tcPr>
          <w:p>
            <w:pPr>
              <w:ind w:left="1740"/>
              <w:spacing w:after="0"/>
              <w:rPr>
                <w:sz w:val="20"/>
                <w:szCs w:val="20"/>
                <w:color w:val="auto"/>
              </w:rPr>
            </w:pPr>
            <w:r>
              <w:rPr>
                <w:rFonts w:ascii="Arial" w:cs="Arial" w:eastAsia="Arial" w:hAnsi="Arial"/>
                <w:sz w:val="18"/>
                <w:szCs w:val="18"/>
                <w:color w:val="auto"/>
              </w:rPr>
              <w:t>II-6</w:t>
            </w: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NCINO,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4860" w:hanging="653"/>
        <w:spacing w:after="0"/>
        <w:tabs>
          <w:tab w:leader="none" w:pos="48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Shares of Common Stock</w:t>
      </w:r>
    </w:p>
    <w:p>
      <w:pPr>
        <w:spacing w:after="0" w:line="225" w:lineRule="exact"/>
        <w:rPr>
          <w:rFonts w:ascii="Arial" w:cs="Arial" w:eastAsia="Arial" w:hAnsi="Arial"/>
          <w:sz w:val="18"/>
          <w:szCs w:val="18"/>
          <w:color w:val="auto"/>
        </w:rPr>
      </w:pPr>
    </w:p>
    <w:p>
      <w:pPr>
        <w:ind w:left="4240"/>
        <w:spacing w:after="0"/>
        <w:rPr>
          <w:rFonts w:ascii="Arial" w:cs="Arial" w:eastAsia="Arial" w:hAnsi="Arial"/>
          <w:sz w:val="18"/>
          <w:szCs w:val="18"/>
          <w:color w:val="auto"/>
        </w:rPr>
      </w:pPr>
      <w:r>
        <w:rPr>
          <w:rFonts w:ascii="Arial" w:cs="Arial" w:eastAsia="Arial" w:hAnsi="Arial"/>
          <w:sz w:val="18"/>
          <w:szCs w:val="18"/>
          <w:u w:val="single" w:color="auto"/>
          <w:color w:val="auto"/>
        </w:rPr>
        <w:t>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Dated: [</w:t>
            </w:r>
          </w:p>
        </w:tc>
        <w:tc>
          <w:tcPr>
            <w:tcW w:w="800" w:type="dxa"/>
            <w:vAlign w:val="bottom"/>
          </w:tcPr>
          <w:p>
            <w:pPr>
              <w:jc w:val="right"/>
              <w:spacing w:after="0"/>
              <w:rPr>
                <w:sz w:val="20"/>
                <w:szCs w:val="20"/>
                <w:color w:val="auto"/>
              </w:rPr>
            </w:pPr>
            <w:r>
              <w:rPr>
                <w:rFonts w:ascii="Arial" w:cs="Arial" w:eastAsia="Arial" w:hAnsi="Arial"/>
                <w:sz w:val="18"/>
                <w:szCs w:val="18"/>
                <w:color w:val="auto"/>
              </w:rPr>
              <w:t>], 2020</w:t>
            </w:r>
          </w:p>
        </w:tc>
      </w:tr>
    </w:tbl>
    <w:p>
      <w:pPr>
        <w:sectPr>
          <w:pgSz w:w="11900" w:h="16838" w:orient="portrait"/>
          <w:cols w:equalWidth="0" w:num="1">
            <w:col w:w="11020"/>
          </w:cols>
          <w:pgMar w:left="440" w:top="121" w:right="4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NCINO,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4860" w:hanging="653"/>
        <w:spacing w:after="0"/>
        <w:tabs>
          <w:tab w:leader="none" w:pos="48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Shares of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tbl>
      <w:tblPr>
        <w:tblLayout w:type="fixed"/>
        <w:tblInd w:w="9860" w:type="dxa"/>
        <w:tblCellMar>
          <w:top w:w="0" w:type="dxa"/>
          <w:left w:w="0" w:type="dxa"/>
          <w:bottom w:w="0" w:type="dxa"/>
          <w:right w:w="0" w:type="dxa"/>
        </w:tblCellMar>
      </w:tblPr>
      <w:tr>
        <w:trPr>
          <w:trHeight w:val="230"/>
        </w:trPr>
        <w:tc>
          <w:tcPr>
            <w:tcW w:w="360" w:type="dxa"/>
            <w:vAlign w:val="bottom"/>
          </w:tcPr>
          <w:p>
            <w:pPr>
              <w:jc w:val="right"/>
              <w:ind w:right="210"/>
              <w:spacing w:after="0"/>
              <w:rPr>
                <w:sz w:val="20"/>
                <w:szCs w:val="20"/>
                <w:color w:val="auto"/>
              </w:rPr>
            </w:pPr>
            <w:r>
              <w:rPr>
                <w:rFonts w:ascii="Arial" w:cs="Arial" w:eastAsia="Arial" w:hAnsi="Arial"/>
                <w:sz w:val="18"/>
                <w:szCs w:val="18"/>
                <w:color w:val="auto"/>
                <w:w w:val="78"/>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0"/>
        <w:spacing w:after="0" w:line="284" w:lineRule="auto"/>
        <w:rPr>
          <w:sz w:val="20"/>
          <w:szCs w:val="20"/>
          <w:color w:val="auto"/>
        </w:rPr>
      </w:pPr>
      <w:r>
        <w:rPr>
          <w:rFonts w:ascii="Arial" w:cs="Arial" w:eastAsia="Arial" w:hAnsi="Arial"/>
          <w:sz w:val="16"/>
          <w:szCs w:val="16"/>
          <w:color w:val="auto"/>
        </w:rPr>
        <w:t>nCino, Inc., a Delaware corporation (the “Company”), the persons listed in Schedule B hereto marked with an asterisk (the “Insight Selling Shareholders”) and the persons listed in Schedule B hereto not marked with an asterisk (the “Non-Insight Selling Shareholders” and, together with the Insight Selling Shareholders, the “Selling Shareholders”), confirm their respective agreements with BofA Securities, Inc. (“BofAS”), Barclays Capital Inc. (“Barclays”) and each of the other Underwriters named in Schedule A hereto (collectively, the “Underwriters,” which term shall also include any underwriter substituted as hereinafter provided in Section 10 hereof), for whom BofAS and Barclays are acting as Representatives (in such capacity, the “Representatives”), with respect to (i) the sale by the Selling Shareholders and the purchase by the Underwriters, acting severally and not jointly, of the respective numbers of shares of Common Stock, par value $0.0005 per share, of the Company (“Common Stock”) set forth in Schedules A and B hereto and (ii) the grant by the Selling Shareholders to the Underwriters, acting severally and not jointly, of the option described in Section 2(b) hereof to</w:t>
      </w:r>
    </w:p>
    <w:p>
      <w:pPr>
        <w:spacing w:after="0" w:line="1" w:lineRule="exact"/>
        <w:rPr>
          <w:sz w:val="20"/>
          <w:szCs w:val="20"/>
          <w:color w:val="auto"/>
        </w:rPr>
      </w:pPr>
    </w:p>
    <w:p>
      <w:pPr>
        <w:spacing w:after="0"/>
        <w:tabs>
          <w:tab w:leader="none" w:pos="2540" w:val="left"/>
          <w:tab w:leader="none" w:pos="7000" w:val="left"/>
        </w:tabs>
        <w:rPr>
          <w:sz w:val="20"/>
          <w:szCs w:val="20"/>
          <w:color w:val="auto"/>
        </w:rPr>
      </w:pPr>
      <w:r>
        <w:rPr>
          <w:rFonts w:ascii="Arial" w:cs="Arial" w:eastAsia="Arial" w:hAnsi="Arial"/>
          <w:sz w:val="18"/>
          <w:szCs w:val="18"/>
          <w:color w:val="auto"/>
        </w:rPr>
        <w:t>purchase all or any part of [</w:t>
      </w:r>
      <w:r>
        <w:rPr>
          <w:sz w:val="20"/>
          <w:szCs w:val="20"/>
          <w:color w:val="auto"/>
        </w:rPr>
        <w:tab/>
      </w:r>
      <w:r>
        <w:rPr>
          <w:rFonts w:ascii="Arial" w:cs="Arial" w:eastAsia="Arial" w:hAnsi="Arial"/>
          <w:sz w:val="18"/>
          <w:szCs w:val="18"/>
          <w:color w:val="auto"/>
        </w:rPr>
        <w:t>] additional shares of Common Stock. The aforesaid [</w:t>
      </w:r>
      <w:r>
        <w:rPr>
          <w:sz w:val="20"/>
          <w:szCs w:val="20"/>
          <w:color w:val="auto"/>
        </w:rPr>
        <w:tab/>
      </w:r>
      <w:r>
        <w:rPr>
          <w:rFonts w:ascii="Arial" w:cs="Arial" w:eastAsia="Arial" w:hAnsi="Arial"/>
          <w:sz w:val="16"/>
          <w:szCs w:val="16"/>
          <w:color w:val="auto"/>
        </w:rPr>
        <w:t>] shares of Common Stock (the “Initial Securities”) to</w:t>
      </w:r>
    </w:p>
    <w:p>
      <w:pPr>
        <w:spacing w:after="0" w:line="9"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be purchased by the Underwriters and all or any part of the [ ] shares of Common Stock subject to the option described in Section 2(b) hereof (the “Option Securities”) are herein called, collectively, the “Securities.”</w:t>
      </w:r>
    </w:p>
    <w:p>
      <w:pPr>
        <w:spacing w:after="0" w:line="185"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The Company and the Selling Shareholders understand that the Underwriters propose to make a public offering of the Securities as soon as the Representatives deem advisable after this Agreement has been executed and delivered. The Underwriters hereby agree that, solely for the purposes of effecting such public offering set forth herein and for the number of shares sent forth here, the Securities of each respective Selling Shareholders are released from the lock-ups entered into, with the Underwriters, in connection with the Company’s initial public offering (the “IPO Lock-Up”) solely to the extent such Selling Shareholders were subject to the IPO Lock-Up. This provision shall not be deemed a release of any other securities held by each respective Selling Shareholders other than the Securities to be sold pursuant to this Agreement. Notwithstanding the foregoing, if this Agreement is terminated prior to the Closing Date, then such IPO Lock-Up shall remain in full force and effect.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214" w:name="page215"/>
    <w:bookmarkEnd w:id="21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filed with the Securities and Exchange Commission (the “Commission”) a registration statement on Form S-1 (No.</w:t>
      </w:r>
    </w:p>
    <w:p>
      <w:pPr>
        <w:spacing w:after="0" w:line="3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333-[ ]), including the related preliminary prospectus or prospectuses, covering the registration of the sale of the Securities under the Securities Act of 1933, as amended (the “1933 Act”). Promptly after execution and delivery of this Agreement, the Company will prepare and file a prospectus in accordance with the provisions of Rule 430A (“Rule 430A”) of the rules and regulations of the Commission under the 1933 Act (the “1933 Act Regulations”) and Rule 424(b) (“Rule 424(b)”) of the 1933 Act Regulations. The information included in such prospectus that was omitted from such registration statement at the time it became effective but that is deemed to be part of such registration statement at the time it became effective pursuant to Rule 430A(b) is herein called the “Rule 430A Information.” Such registration statement, including the amendments thereto, the exhibits thereto and any schedules thereto, at the time it became effective, and including the Rule 430A Information, is herein called the “Registration Statement.” Any registration statement filed pursuant to Rule 462(b) of the 1933 Act Regulations is herein called the “Rule 462(b) Registration Statement” and, after such filing, the term “Registration Statement” shall include the Rule 462(b) Registration Statement. 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final prospectus,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w:t>
      </w:r>
    </w:p>
    <w:p>
      <w:pPr>
        <w:sectPr>
          <w:pgSz w:w="11900" w:h="16838" w:orient="portrait"/>
          <w:cols w:equalWidth="0" w:num="1">
            <w:col w:w="11000"/>
          </w:cols>
          <w:pgMar w:left="440" w:top="274" w:right="459" w:bottom="1440" w:gutter="0" w:footer="0" w:header="0"/>
        </w:sectPr>
      </w:pPr>
    </w:p>
    <w:p>
      <w:pPr>
        <w:spacing w:after="0" w:line="11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“Applicable Time” means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P.M., New York City time, on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2020 or such other time as agreed by the Company and the</w:t>
      </w:r>
    </w:p>
    <w:p>
      <w:pPr>
        <w:spacing w:after="0" w:line="46" w:lineRule="exact"/>
        <w:rPr>
          <w:sz w:val="20"/>
          <w:szCs w:val="20"/>
          <w:color w:val="auto"/>
        </w:rPr>
      </w:pPr>
    </w:p>
    <w:p>
      <w:pPr>
        <w:sectPr>
          <w:pgSz w:w="11900" w:h="16838" w:orient="portrait"/>
          <w:cols w:equalWidth="0" w:num="3">
            <w:col w:w="2840" w:space="580"/>
            <w:col w:w="2360" w:space="580"/>
            <w:col w:w="4640"/>
          </w:cols>
          <w:pgMar w:left="440" w:top="274" w:right="45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Representatives.</w:t>
      </w:r>
    </w:p>
    <w:p>
      <w:pPr>
        <w:sectPr>
          <w:pgSz w:w="11900" w:h="16838" w:orient="portrait"/>
          <w:cols w:equalWidth="0" w:num="1">
            <w:col w:w="11000"/>
          </w:cols>
          <w:pgMar w:left="440" w:top="274" w:right="459" w:bottom="1440" w:gutter="0" w:footer="0" w:header="0"/>
          <w:type w:val="continuous"/>
        </w:sectPr>
      </w:pPr>
    </w:p>
    <w:p>
      <w:pPr>
        <w:spacing w:after="0" w:line="137" w:lineRule="exact"/>
        <w:rPr>
          <w:sz w:val="20"/>
          <w:szCs w:val="20"/>
          <w:color w:val="auto"/>
        </w:rPr>
      </w:pPr>
    </w:p>
    <w:p>
      <w:pPr>
        <w:ind w:left="440" w:right="20" w:firstLine="423"/>
        <w:spacing w:after="0" w:line="263" w:lineRule="auto"/>
        <w:rPr>
          <w:sz w:val="20"/>
          <w:szCs w:val="20"/>
          <w:color w:val="auto"/>
        </w:rPr>
      </w:pPr>
      <w:r>
        <w:rPr>
          <w:rFonts w:ascii="Arial" w:cs="Arial" w:eastAsia="Arial" w:hAnsi="Arial"/>
          <w:sz w:val="18"/>
          <w:szCs w:val="18"/>
          <w:color w:val="auto"/>
        </w:rPr>
        <w:t>“General Disclosure Package” means any Issuer General Use Free Writing Prospectuses issued at or prior to the Applicable Time, the most recent preliminary prospectus that is distributed to investors prior to the Applicable Time and the information included on Schedule C-1 hereto, all considered together.</w:t>
      </w:r>
    </w:p>
    <w:p>
      <w:pPr>
        <w:spacing w:after="0" w:line="76" w:lineRule="exact"/>
        <w:rPr>
          <w:sz w:val="20"/>
          <w:szCs w:val="20"/>
          <w:color w:val="auto"/>
        </w:rPr>
      </w:pPr>
    </w:p>
    <w:p>
      <w:pPr>
        <w:ind w:left="440" w:firstLine="423"/>
        <w:spacing w:after="0" w:line="254"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type w:val="continuous"/>
        </w:sectPr>
      </w:pPr>
    </w:p>
    <w:bookmarkStart w:id="215" w:name="page216"/>
    <w:bookmarkEnd w:id="215"/>
    <w:p>
      <w:pPr>
        <w:jc w:val="both"/>
        <w:ind w:left="420" w:right="64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(the “Bona Fide Electronic Road Show”)), as evidenced by its being specified in Schedule C-2 hereto.</w:t>
      </w:r>
    </w:p>
    <w:p>
      <w:pPr>
        <w:spacing w:after="0" w:line="76" w:lineRule="exact"/>
        <w:rPr>
          <w:sz w:val="20"/>
          <w:szCs w:val="20"/>
          <w:color w:val="auto"/>
        </w:rPr>
      </w:pPr>
    </w:p>
    <w:p>
      <w:pPr>
        <w:ind w:left="420" w:right="380" w:firstLine="423"/>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62" w:lineRule="exact"/>
        <w:rPr>
          <w:sz w:val="20"/>
          <w:szCs w:val="20"/>
          <w:color w:val="auto"/>
        </w:rPr>
      </w:pPr>
    </w:p>
    <w:p>
      <w:pPr>
        <w:ind w:left="420" w:right="260" w:firstLine="423"/>
        <w:spacing w:after="0" w:line="277" w:lineRule="auto"/>
        <w:rPr>
          <w:sz w:val="20"/>
          <w:szCs w:val="20"/>
          <w:color w:val="auto"/>
        </w:rPr>
      </w:pPr>
      <w:r>
        <w:rPr>
          <w:rFonts w:ascii="Arial" w:cs="Arial" w:eastAsia="Arial" w:hAnsi="Arial"/>
          <w:sz w:val="18"/>
          <w:szCs w:val="18"/>
          <w:color w:val="auto"/>
        </w:rPr>
        <w:t>“Testing-the-Waters Communication” means any oral or written communication with potential investors in connection with the offer and sale of the Securities undertaken in reliance on Section 5(d) of the 1933 Act.</w:t>
      </w:r>
    </w:p>
    <w:p>
      <w:pPr>
        <w:spacing w:after="0" w:line="62" w:lineRule="exact"/>
        <w:rPr>
          <w:sz w:val="20"/>
          <w:szCs w:val="20"/>
          <w:color w:val="auto"/>
        </w:rPr>
      </w:pPr>
    </w:p>
    <w:p>
      <w:pPr>
        <w:ind w:left="420" w:right="300" w:firstLine="423"/>
        <w:spacing w:after="0" w:line="277" w:lineRule="auto"/>
        <w:rPr>
          <w:sz w:val="20"/>
          <w:szCs w:val="20"/>
          <w:color w:val="auto"/>
        </w:rPr>
      </w:pPr>
      <w:r>
        <w:rPr>
          <w:rFonts w:ascii="Arial" w:cs="Arial" w:eastAsia="Arial" w:hAnsi="Arial"/>
          <w:sz w:val="18"/>
          <w:szCs w:val="18"/>
          <w:color w:val="auto"/>
        </w:rPr>
        <w:t>“Written Testing-the-Waters Communication” means any Testing-the-Waters Communication that is a written communication within the meaning of Rule 405 under the 1933 Act.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left="-20" w:right="360" w:firstLine="436"/>
        <w:spacing w:after="0" w:line="342" w:lineRule="auto"/>
        <w:tabs>
          <w:tab w:leader="none" w:pos="665"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by the Company</w:t>
      </w:r>
      <w:r>
        <w:rPr>
          <w:rFonts w:ascii="Arial" w:cs="Arial" w:eastAsia="Arial" w:hAnsi="Arial"/>
          <w:sz w:val="16"/>
          <w:szCs w:val="16"/>
          <w:color w:val="auto"/>
        </w:rPr>
        <w:t>. The Company represents and warrants to each Underwriter as of the date hereof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Time, the Closing Time (as defined below) and any Date of Delivery (as defined below), and agrees with each Underwriter, as follows:</w:t>
      </w:r>
    </w:p>
    <w:p>
      <w:pPr>
        <w:spacing w:after="0" w:line="15" w:lineRule="exact"/>
        <w:rPr>
          <w:rFonts w:ascii="Arial" w:cs="Arial" w:eastAsia="Arial" w:hAnsi="Arial"/>
          <w:sz w:val="16"/>
          <w:szCs w:val="16"/>
          <w:color w:val="auto"/>
        </w:rPr>
      </w:pPr>
    </w:p>
    <w:p>
      <w:pPr>
        <w:ind w:left="420" w:firstLine="419"/>
        <w:spacing w:after="0" w:line="255" w:lineRule="auto"/>
        <w:tabs>
          <w:tab w:leader="none" w:pos="1058"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Registration Statement and Prospectuses</w:t>
      </w:r>
      <w:r>
        <w:rPr>
          <w:rFonts w:ascii="Arial" w:cs="Arial" w:eastAsia="Arial" w:hAnsi="Arial"/>
          <w:sz w:val="18"/>
          <w:szCs w:val="18"/>
          <w:color w:val="auto"/>
        </w:rPr>
        <w:t>. Each of the Registration Statement and any post-effective amendment thereto has been declared effective by the Commission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or are pending or, to the Company’s knowledge, threatened by the Commission. The Company has complied with each request (if any) from the Commission for additional information.</w:t>
      </w:r>
    </w:p>
    <w:p>
      <w:pPr>
        <w:spacing w:after="0" w:line="84" w:lineRule="exact"/>
        <w:rPr>
          <w:sz w:val="20"/>
          <w:szCs w:val="20"/>
          <w:color w:val="auto"/>
        </w:rPr>
      </w:pPr>
    </w:p>
    <w:p>
      <w:pPr>
        <w:ind w:left="420" w:right="40" w:firstLine="423"/>
        <w:spacing w:after="0" w:line="272" w:lineRule="auto"/>
        <w:rPr>
          <w:sz w:val="20"/>
          <w:szCs w:val="20"/>
          <w:color w:val="auto"/>
        </w:rPr>
      </w:pPr>
      <w:r>
        <w:rPr>
          <w:rFonts w:ascii="Arial" w:cs="Arial" w:eastAsia="Arial" w:hAnsi="Arial"/>
          <w:sz w:val="17"/>
          <w:szCs w:val="17"/>
          <w:color w:val="auto"/>
        </w:rPr>
        <w:t>Each of the Registration Statement and any post-effective amendment thereto, at the time it became effective, the Applicable Time, the Closing Time and any Date of Delivery complied and will comply in all material respects with the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69" w:lineRule="exact"/>
        <w:rPr>
          <w:sz w:val="20"/>
          <w:szCs w:val="20"/>
          <w:color w:val="auto"/>
        </w:rPr>
      </w:pPr>
    </w:p>
    <w:p>
      <w:pPr>
        <w:ind w:left="420" w:right="40" w:firstLine="419"/>
        <w:spacing w:after="0" w:line="269" w:lineRule="auto"/>
        <w:tabs>
          <w:tab w:leader="none" w:pos="1108"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Accurate Disclosure</w:t>
      </w:r>
      <w:r>
        <w:rPr>
          <w:rFonts w:ascii="Arial" w:cs="Arial" w:eastAsia="Arial" w:hAnsi="Arial"/>
          <w:sz w:val="17"/>
          <w:szCs w:val="17"/>
          <w:color w:val="auto"/>
        </w:rPr>
        <w:t>. Neither the Registration Statement nor any post-effective amendment thereto, when considered together with the Registration Statement,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and any Date of Delivery,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when considered together with the General Disclosure Package,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4" w:right="479" w:bottom="1440" w:gutter="0" w:footer="0" w:header="0"/>
        </w:sectPr>
      </w:pPr>
    </w:p>
    <w:bookmarkStart w:id="216" w:name="page217"/>
    <w:bookmarkEnd w:id="216"/>
    <w:p>
      <w:pPr>
        <w:ind w:right="160" w:firstLine="42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representations and warranties in this Section 1(a)(ii) shall not apply to statements in or omissions from the Registration Statement (or any post-effective amendment thereto), the General Disclosure Package, any Issuer Limited Use Free Writing Prospectus, any Written Testing-the-Waters Communication or the Prospectus (or any amendment or supplement thereto) made in reliance upon and in conformity with written information furnished to the Company by or on behalf of any Underwriter through the Representatives expressly for use therein. For purposes of this Agreement, the only information so furnished shall be the information in the first paragraph under the heading “Underwriting– Commissions and Discounts,” the information in the second, third and fourth paragraphs under the heading “Underwriting–Price Stabilization, Short Positions and Penalty Bids” and the information under the heading “Underwriting–Electronic Distribution” in each case contained in the Prospectus (collectively, the “Underwriter Information”).</w:t>
      </w:r>
    </w:p>
    <w:p>
      <w:pPr>
        <w:spacing w:after="0" w:line="70" w:lineRule="exact"/>
        <w:rPr>
          <w:sz w:val="20"/>
          <w:szCs w:val="20"/>
          <w:color w:val="auto"/>
        </w:rPr>
      </w:pPr>
    </w:p>
    <w:p>
      <w:pPr>
        <w:ind w:firstLine="419"/>
        <w:spacing w:after="0" w:line="296" w:lineRule="auto"/>
        <w:tabs>
          <w:tab w:leader="none" w:pos="73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Prospectuses</w:t>
      </w:r>
      <w:r>
        <w:rPr>
          <w:rFonts w:ascii="Arial" w:cs="Arial" w:eastAsia="Arial" w:hAnsi="Arial"/>
          <w:sz w:val="16"/>
          <w:szCs w:val="16"/>
          <w:color w:val="auto"/>
        </w:rPr>
        <w:t>. No Issuer Free Writing Prospectus conflicts or will conflict with the information contained in the Registration Statement or the Prospectus, and any preliminary or other prospectus deemed to be a part thereof that has not been superseded or modified. The foregoing sentence does not apply to statements in or omissions from any Issuer Free Writing Prospectus made in reliance upon and in conformity with the Underwriter Information. The Company has made available a Bona Fide Electronic Road Show in compliance with Rule 433(d)(8)(ii) such that no filing of any “road show” (as defined in Rule 433(h)) is required in connection with the offering of the Securities.</w:t>
      </w:r>
    </w:p>
    <w:p>
      <w:pPr>
        <w:spacing w:after="0" w:line="53" w:lineRule="exact"/>
        <w:rPr>
          <w:rFonts w:ascii="Arial" w:cs="Arial" w:eastAsia="Arial" w:hAnsi="Arial"/>
          <w:sz w:val="16"/>
          <w:szCs w:val="16"/>
          <w:color w:val="auto"/>
        </w:rPr>
      </w:pPr>
    </w:p>
    <w:p>
      <w:pPr>
        <w:ind w:left="720" w:hanging="301"/>
        <w:spacing w:after="0"/>
        <w:tabs>
          <w:tab w:leader="none" w:pos="72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Testing-the-Waters Materials</w:t>
      </w:r>
      <w:r>
        <w:rPr>
          <w:rFonts w:ascii="Arial" w:cs="Arial" w:eastAsia="Arial" w:hAnsi="Arial"/>
          <w:sz w:val="17"/>
          <w:szCs w:val="17"/>
          <w:color w:val="auto"/>
        </w:rPr>
        <w:t>. The Company (A) has not alone engaged in any Testing-the-Waters Communication other than</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Testing-the-Waters Communications with the consent of the Representatives with entities that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The Company reconfirms that the Representatives have been authorized to act on its behalf in undertaking Testing-the-Waters Communications as specifically authorized by the Company. The Company has not distributed any Written Testing-the-Waters Communications other than those listed on Schedule D hereto.</w:t>
      </w:r>
    </w:p>
    <w:p>
      <w:pPr>
        <w:spacing w:after="0" w:line="54" w:lineRule="exact"/>
        <w:rPr>
          <w:sz w:val="20"/>
          <w:szCs w:val="20"/>
          <w:color w:val="auto"/>
        </w:rPr>
      </w:pPr>
    </w:p>
    <w:p>
      <w:pPr>
        <w:ind w:right="20" w:firstLine="419"/>
        <w:spacing w:after="0" w:line="301" w:lineRule="auto"/>
        <w:tabs>
          <w:tab w:leader="none" w:pos="678"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Company Not Ineligible Issuer</w:t>
      </w:r>
      <w:r>
        <w:rPr>
          <w:rFonts w:ascii="Arial" w:cs="Arial" w:eastAsia="Arial" w:hAnsi="Arial"/>
          <w:sz w:val="16"/>
          <w:szCs w:val="16"/>
          <w:color w:val="auto"/>
        </w:rPr>
        <w:t xml:space="preserve">. At the time of filing the Registration Statement and any post-effective amendment thereto, at the earliest time thereafter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49" w:lineRule="exact"/>
        <w:rPr>
          <w:rFonts w:ascii="Arial" w:cs="Arial" w:eastAsia="Arial" w:hAnsi="Arial"/>
          <w:sz w:val="16"/>
          <w:szCs w:val="16"/>
          <w:color w:val="auto"/>
        </w:rPr>
      </w:pPr>
    </w:p>
    <w:p>
      <w:pPr>
        <w:ind w:right="460" w:firstLine="419"/>
        <w:spacing w:after="0" w:line="259" w:lineRule="auto"/>
        <w:tabs>
          <w:tab w:leader="none" w:pos="72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xml:space="preserve"> From the time of the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1933 Act (an “Emerging Growth Company”).</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217" w:name="page218"/>
    <w:bookmarkEnd w:id="217"/>
    <w:p>
      <w:pPr>
        <w:ind w:right="260" w:firstLine="419"/>
        <w:spacing w:after="0" w:line="263" w:lineRule="auto"/>
        <w:tabs>
          <w:tab w:leader="none" w:pos="77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Independent Accountants</w:t>
      </w:r>
      <w:r>
        <w:rPr>
          <w:rFonts w:ascii="Arial" w:cs="Arial" w:eastAsia="Arial" w:hAnsi="Arial"/>
          <w:sz w:val="18"/>
          <w:szCs w:val="18"/>
          <w:color w:val="auto"/>
        </w:rPr>
        <w:t>. The accountants who certified the audited financial statements included in the Registration Statement, the General Disclosure Package and the Prospectus are independent registered public accountings as required by the 1933 Act, the 1933 Act Regulations and the Public Company Accounting Oversight Board.</w:t>
      </w:r>
    </w:p>
    <w:p>
      <w:pPr>
        <w:spacing w:after="0" w:line="75" w:lineRule="exact"/>
        <w:rPr>
          <w:rFonts w:ascii="Arial" w:cs="Arial" w:eastAsia="Arial" w:hAnsi="Arial"/>
          <w:sz w:val="18"/>
          <w:szCs w:val="18"/>
          <w:color w:val="auto"/>
        </w:rPr>
      </w:pPr>
    </w:p>
    <w:p>
      <w:pPr>
        <w:ind w:firstLine="419"/>
        <w:spacing w:after="0" w:line="285" w:lineRule="auto"/>
        <w:tabs>
          <w:tab w:leader="none" w:pos="828"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Financial Statements; Non-GAAP Financial Measures</w:t>
      </w:r>
      <w:r>
        <w:rPr>
          <w:rFonts w:ascii="Arial" w:cs="Arial" w:eastAsia="Arial" w:hAnsi="Arial"/>
          <w:sz w:val="16"/>
          <w:szCs w:val="16"/>
          <w:color w:val="auto"/>
        </w:rPr>
        <w:t>. The financial statements included in the Registration Statement, the General Disclosure Package and the Prospectus, together with the related schedules and notes, present fairly in all material respects the financial position of the Company and its consolidated subsidiaries at the dates indicated and the statements of comprehensive loss, 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except, in the case of unaudited interim financial statements, subject to normal year-end audit adjustments and the exclusion of certain footnotes as permitted by the applicable rules of the Commission.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All disclosures contained in the Registration Statement, the General Disclosure Package or the Prospectus regarding “non-GAAP financial measures” (as such term is defined by the rules and regulations of the Commission) comply in all material respects with Regulation G of the Securities Exchange Act of 1934, as amended (the “1934 Act”) and Item 10 of Regulation S-K of the 1933 Act, to the extent applicable. The interactive data in eXtensible Business Reporting Language included Registration Statement, the General Disclosure Package and the Prospectus fairly presents the information called for in all material respects and has been prepared in accordance with the Commission’s rules and guidelines applicable thereto.</w:t>
      </w:r>
    </w:p>
    <w:p>
      <w:pPr>
        <w:spacing w:after="0" w:line="68" w:lineRule="exact"/>
        <w:rPr>
          <w:rFonts w:ascii="Arial" w:cs="Arial" w:eastAsia="Arial" w:hAnsi="Arial"/>
          <w:sz w:val="16"/>
          <w:szCs w:val="16"/>
          <w:color w:val="auto"/>
        </w:rPr>
      </w:pPr>
    </w:p>
    <w:p>
      <w:pPr>
        <w:ind w:right="20" w:firstLine="419"/>
        <w:spacing w:after="0" w:line="254" w:lineRule="auto"/>
        <w:tabs>
          <w:tab w:leader="none" w:pos="72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86" w:lineRule="exact"/>
        <w:rPr>
          <w:rFonts w:ascii="Arial" w:cs="Arial" w:eastAsia="Arial" w:hAnsi="Arial"/>
          <w:sz w:val="18"/>
          <w:szCs w:val="18"/>
          <w:color w:val="auto"/>
        </w:rPr>
      </w:pPr>
    </w:p>
    <w:p>
      <w:pPr>
        <w:ind w:right="100" w:firstLine="419"/>
        <w:spacing w:after="0" w:line="293" w:lineRule="auto"/>
        <w:tabs>
          <w:tab w:leader="none" w:pos="678"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w:t>
      </w:r>
      <w:r>
        <w:rPr>
          <w:rFonts w:ascii="Arial" w:cs="Arial" w:eastAsia="Arial" w:hAnsi="Arial"/>
          <w:sz w:val="16"/>
          <w:szCs w:val="16"/>
          <w:color w:val="auto"/>
        </w:rPr>
        <w:t>. The Company has been duly incorporated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reasonably be expected to result in a Material Adverse Effect.</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218" w:name="page219"/>
    <w:bookmarkEnd w:id="218"/>
    <w:p>
      <w:pPr>
        <w:ind w:firstLine="419"/>
        <w:spacing w:after="0" w:line="285" w:lineRule="auto"/>
        <w:tabs>
          <w:tab w:leader="none" w:pos="728"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Good Standing of Subsidiaries</w:t>
      </w:r>
      <w:r>
        <w:rPr>
          <w:rFonts w:ascii="Arial" w:cs="Arial" w:eastAsia="Arial" w:hAnsi="Arial"/>
          <w:sz w:val="16"/>
          <w:szCs w:val="16"/>
          <w:color w:val="auto"/>
        </w:rPr>
        <w:t>. Each “significant subsidiary” of the Company (as such term is defined in Rule 1-02 of Regulation S-X) and Visible Equity, LLC (each, a “Subsidiary” and, collectively, the “Subsidiaries”) has been duly organized and is validly existing in good standing under the laws of the jurisdiction of its incorporation or organization (or such equivalent concept to the extent it exists under the laws of such jurisdiction), has corporate or similar power and authority to own, lease and operate its properties and to conduct its business as described in the Registration Statement, the General Disclosure Package and the Prospectus and is duly qualified to transact business and is in good standing (or such equivalent concept to the extent it exists under the laws of such jurisdiction) in each jurisdiction in which such qualification is required, whether by reason of the ownership or leasing of property or the conduct of business, except where the failure to so qualify or to be in good standing would not reasonably be expected to result in a Material Adverse Effect. Except as otherwise disclosed in the Registration Statement, the General Disclosure Package and the Prospectus, all of the issued and outstanding capital stock of each Subsidiary has been duly authorized and validly issued, is fully paid and non-assessable (or such equivalent concept to the extent it exists under the laws of such jurisdiction) and is owned by the Company, directly or through subsidiaries, free and clear of any security interest, mortgage, pledge, lien, encumbrance, claim or equity, except to the extent any such security interest, mortgage, pledge, lien, encumbrance or claim would not, in the aggregate, reasonably be expected to result in a Material Adverse Effect. None of the outstanding shares of capital stock of any Subsidiary were issued in violation of the preemptive or similar rights of any securityholder of such Subsidiary. The only subsidiaries of the Company are (A) the subsidiaries listed on Exhibit 21 to the Registration Statement and (B) any other subsidiaries which, considered in the aggregate as a single subsidiary, do not constitute a “significant subsidiary” as defined in Rule 1-02 of Regulation S-X.</w:t>
      </w:r>
    </w:p>
    <w:p>
      <w:pPr>
        <w:spacing w:after="0" w:line="68" w:lineRule="exact"/>
        <w:rPr>
          <w:rFonts w:ascii="Arial" w:cs="Arial" w:eastAsia="Arial" w:hAnsi="Arial"/>
          <w:sz w:val="16"/>
          <w:szCs w:val="16"/>
          <w:color w:val="auto"/>
        </w:rPr>
      </w:pPr>
    </w:p>
    <w:p>
      <w:pPr>
        <w:ind w:right="40" w:firstLine="419"/>
        <w:spacing w:after="0" w:line="253" w:lineRule="auto"/>
        <w:tabs>
          <w:tab w:leader="none" w:pos="778"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authorized,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including the Securities to be purchased by the Underwriters from the Selling Shareholders, have been duly authorized and validly issued and are fully paid and non-assessable. None of the outstanding shares of capital stock of the Company, including the Securities to be purchased by the Underwriters from the Selling Shareholders, were issued in violation of the preemptive or other similar rights of any securityholder of the Company.</w:t>
      </w:r>
    </w:p>
    <w:p>
      <w:pPr>
        <w:spacing w:after="0" w:line="88" w:lineRule="exact"/>
        <w:rPr>
          <w:rFonts w:ascii="Arial" w:cs="Arial" w:eastAsia="Arial" w:hAnsi="Arial"/>
          <w:sz w:val="18"/>
          <w:szCs w:val="18"/>
          <w:color w:val="auto"/>
        </w:rPr>
      </w:pPr>
    </w:p>
    <w:p>
      <w:pPr>
        <w:ind w:left="820" w:hanging="401"/>
        <w:spacing w:after="0"/>
        <w:tabs>
          <w:tab w:leader="none" w:pos="8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right="60" w:firstLine="419"/>
        <w:spacing w:after="0" w:line="291" w:lineRule="auto"/>
        <w:tabs>
          <w:tab w:leader="none" w:pos="818"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Authorization and Description of Securities</w:t>
      </w:r>
      <w:r>
        <w:rPr>
          <w:rFonts w:ascii="Arial" w:cs="Arial" w:eastAsia="Arial" w:hAnsi="Arial"/>
          <w:sz w:val="16"/>
          <w:szCs w:val="16"/>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except as have been waived in writing as of the date of this Agreement. The Common Stock conforms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by reason of being such a holder.</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219" w:name="page220"/>
    <w:bookmarkEnd w:id="219"/>
    <w:p>
      <w:pPr>
        <w:ind w:right="160" w:firstLine="419"/>
        <w:spacing w:after="0" w:line="259" w:lineRule="auto"/>
        <w:tabs>
          <w:tab w:leader="none" w:pos="768"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Registration Rights</w:t>
      </w:r>
      <w:r>
        <w:rPr>
          <w:rFonts w:ascii="Arial" w:cs="Arial" w:eastAsia="Arial" w:hAnsi="Arial"/>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78" w:lineRule="exact"/>
        <w:rPr>
          <w:rFonts w:ascii="Arial" w:cs="Arial" w:eastAsia="Arial" w:hAnsi="Arial"/>
          <w:sz w:val="18"/>
          <w:szCs w:val="18"/>
          <w:color w:val="auto"/>
        </w:rPr>
      </w:pPr>
    </w:p>
    <w:p>
      <w:pPr>
        <w:ind w:left="820" w:hanging="401"/>
        <w:spacing w:after="0"/>
        <w:tabs>
          <w:tab w:leader="none" w:pos="82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Absence of Violations, Defaults and Conflicts</w:t>
      </w:r>
      <w:r>
        <w:rPr>
          <w:rFonts w:ascii="Arial" w:cs="Arial" w:eastAsia="Arial" w:hAnsi="Arial"/>
          <w:sz w:val="17"/>
          <w:szCs w:val="17"/>
          <w:color w:val="auto"/>
        </w:rPr>
        <w:t>. Neither the Company nor any of its subsidiaries is (A) in violation of its charter,</w:t>
      </w:r>
    </w:p>
    <w:p>
      <w:pPr>
        <w:spacing w:after="0" w:line="3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reasonably be expected to,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reasonably be expected to, singly or in the aggregate,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reasonably be expected to, singly or in the aggregate, result in a Material Adverse Effect), nor will such action result in any violation of (x) the provisions of the charter, by-laws or similar organizational document of the Company or any of its subsidiaries or (y) any law, statute, rule, regulation, judgment, order, writ or decree of any Governmental Entity, except, with respect to clause (y), such violations as would not reasonably be expected to, singly or in the aggregate,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74" w:lineRule="exact"/>
        <w:rPr>
          <w:sz w:val="20"/>
          <w:szCs w:val="20"/>
          <w:color w:val="auto"/>
        </w:rPr>
      </w:pPr>
    </w:p>
    <w:p>
      <w:pPr>
        <w:jc w:val="both"/>
        <w:ind w:right="60" w:firstLine="419"/>
        <w:spacing w:after="0" w:line="259" w:lineRule="auto"/>
        <w:tabs>
          <w:tab w:leader="none" w:pos="868"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the Company or any of its subsidiaries exists or, to the knowledge of the Company, is threatened, and the Company is not aware of any existing or imminent labor disturbance by the employees of any of its or any subsidiary’s principal suppliers, manufacturers, customers or contractors, which, in either case, would reasonably be expected to result in a Material Adverse Effect.</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220" w:name="page221"/>
    <w:bookmarkEnd w:id="220"/>
    <w:p>
      <w:pPr>
        <w:ind w:right="40" w:firstLine="419"/>
        <w:spacing w:after="0" w:line="253" w:lineRule="auto"/>
        <w:tabs>
          <w:tab w:leader="none" w:pos="918"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Absence of Proceedings</w:t>
      </w:r>
      <w:r>
        <w:rPr>
          <w:rFonts w:ascii="Arial" w:cs="Arial" w:eastAsia="Arial" w:hAnsi="Arial"/>
          <w:sz w:val="18"/>
          <w:szCs w:val="18"/>
          <w:color w:val="auto"/>
        </w:rPr>
        <w:t>.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would not reasonably be expected to result in a Material Adverse Effect.</w:t>
      </w:r>
    </w:p>
    <w:p>
      <w:pPr>
        <w:spacing w:after="0" w:line="88" w:lineRule="exact"/>
        <w:rPr>
          <w:rFonts w:ascii="Arial" w:cs="Arial" w:eastAsia="Arial" w:hAnsi="Arial"/>
          <w:sz w:val="18"/>
          <w:szCs w:val="18"/>
          <w:color w:val="auto"/>
        </w:rPr>
      </w:pPr>
    </w:p>
    <w:p>
      <w:pPr>
        <w:jc w:val="both"/>
        <w:ind w:right="160" w:firstLine="419"/>
        <w:spacing w:after="0" w:line="263" w:lineRule="auto"/>
        <w:tabs>
          <w:tab w:leader="none" w:pos="818"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under the 1933 Act or the 1933 Act Regulations to be described in the Registration Statement, the General Disclosure Package or the Prospectus or to be filed as exhibits to the Registration Statement which have not been so described and filed as required.</w:t>
      </w:r>
    </w:p>
    <w:p>
      <w:pPr>
        <w:spacing w:after="0" w:line="75" w:lineRule="exact"/>
        <w:rPr>
          <w:rFonts w:ascii="Arial" w:cs="Arial" w:eastAsia="Arial" w:hAnsi="Arial"/>
          <w:sz w:val="18"/>
          <w:szCs w:val="18"/>
          <w:color w:val="auto"/>
        </w:rPr>
      </w:pPr>
    </w:p>
    <w:p>
      <w:pPr>
        <w:ind w:firstLine="419"/>
        <w:spacing w:after="0" w:line="272" w:lineRule="auto"/>
        <w:tabs>
          <w:tab w:leader="none" w:pos="768"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(A) such as have been already obtained or as may be required under the 1933 Act, the 1933 Act Regulations, the 1934 Act, the rules of the Nasdaq Global Select Market (“Nasdaq”), state securities laws or the rules of FINRA, and (B) where the failure to obtain such filing, authorization, approval, consent, license, order, registration, qualification or decree would not, individually or in the aggregate, have a Material Adverse Effect or materially affect the ability to consummate the transactions contemplated by this Agreement.</w:t>
      </w:r>
    </w:p>
    <w:p>
      <w:pPr>
        <w:spacing w:after="0" w:line="69" w:lineRule="exact"/>
        <w:rPr>
          <w:rFonts w:ascii="Arial" w:cs="Arial" w:eastAsia="Arial" w:hAnsi="Arial"/>
          <w:sz w:val="17"/>
          <w:szCs w:val="17"/>
          <w:color w:val="auto"/>
        </w:rPr>
      </w:pPr>
    </w:p>
    <w:p>
      <w:pPr>
        <w:ind w:right="40" w:firstLine="419"/>
        <w:spacing w:after="0" w:line="288" w:lineRule="auto"/>
        <w:tabs>
          <w:tab w:leader="none" w:pos="818"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its subsidiaries possess such permits, licenses, approvals, consents and other authorizations (collectively, “Governmental Licenses”) issued by the appropriate Governmental Entities necessary to conduct the business now operated by them as disclosed in the Registration Statement, the General Disclosure Package and the Prospectus, except where the failure so to possess would not reasonably be expected to, singly or in the aggregate, result in a Material Adverse Effect. The Company and its subsidiaries are in compliance with the terms and conditions of all Governmental Licenses, except where the failure so to comply would not reasonably be expected to, singly or in the aggregate, result in a Material Adverse Effect. All of the Governmental Licenses are valid and in full force and effect, except when the invalidity of such Governmental Licenses or the failure of such Governmental Licenses to be in full force and effect would not reasonably be expected to, singly or in the aggregate, result in a Material Adverse Effect. Neither the Company nor any of its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221" w:name="page222"/>
    <w:bookmarkEnd w:id="221"/>
    <w:p>
      <w:pPr>
        <w:ind w:left="4" w:right="140" w:firstLine="419"/>
        <w:spacing w:after="0" w:line="287" w:lineRule="auto"/>
        <w:tabs>
          <w:tab w:leader="none" w:pos="871"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Title to Property</w:t>
      </w:r>
      <w:r>
        <w:rPr>
          <w:rFonts w:ascii="Arial" w:cs="Arial" w:eastAsia="Arial" w:hAnsi="Arial"/>
          <w:sz w:val="16"/>
          <w:szCs w:val="16"/>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w:t>
      </w:r>
    </w:p>
    <w:p>
      <w:pPr>
        <w:spacing w:after="0" w:line="2" w:lineRule="exact"/>
        <w:rPr>
          <w:rFonts w:ascii="Arial" w:cs="Arial" w:eastAsia="Arial" w:hAnsi="Arial"/>
          <w:sz w:val="16"/>
          <w:szCs w:val="16"/>
          <w:color w:val="auto"/>
        </w:rPr>
      </w:pPr>
    </w:p>
    <w:p>
      <w:pPr>
        <w:ind w:left="4" w:hanging="4"/>
        <w:spacing w:after="0" w:line="268" w:lineRule="auto"/>
        <w:tabs>
          <w:tab w:leader="none" w:pos="28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do not, singly or in the aggregate, materially and adversely affect the value of such property and do not materially and adversely interfere with the use made and proposed to be made of such property by the Company or any of its subsidiaries; and all of the leases and subleases of the Company and its subsidiaries, considered as one enterprise, and under which the Company or any of its subsidiaries holds properties described in the Registration Statement, the General Disclosure Package or the Prospectus, are in full force and effect, except to the extent that any such failure to be in full force and effect would not, singly or in the aggregate, result in a Material Adverse Effect, and neither the Company nor any such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75" w:lineRule="exact"/>
        <w:rPr>
          <w:rFonts w:ascii="Arial" w:cs="Arial" w:eastAsia="Arial" w:hAnsi="Arial"/>
          <w:sz w:val="17"/>
          <w:szCs w:val="17"/>
          <w:color w:val="auto"/>
        </w:rPr>
      </w:pPr>
    </w:p>
    <w:p>
      <w:pPr>
        <w:ind w:left="4" w:right="100" w:firstLine="419"/>
        <w:spacing w:after="0" w:line="270" w:lineRule="auto"/>
        <w:tabs>
          <w:tab w:leader="none" w:pos="921"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color w:val="auto"/>
        </w:rPr>
        <w:t>. Except as would not, in the aggregate, reasonably be expected to result in a Material Adverse Effect,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 and which infringement or conflict (if the subject of any unfavorable decision, ruling or finding) or invalidity or inadequacy, singly or in the aggregate, would result in a Material Adverse Effect.</w:t>
      </w:r>
    </w:p>
    <w:p>
      <w:pPr>
        <w:spacing w:after="0" w:line="72" w:lineRule="exact"/>
        <w:rPr>
          <w:rFonts w:ascii="Arial" w:cs="Arial" w:eastAsia="Arial" w:hAnsi="Arial"/>
          <w:sz w:val="17"/>
          <w:szCs w:val="17"/>
          <w:color w:val="auto"/>
        </w:rPr>
      </w:pPr>
    </w:p>
    <w:p>
      <w:pPr>
        <w:ind w:left="4" w:firstLine="419"/>
        <w:spacing w:after="0" w:line="286" w:lineRule="auto"/>
        <w:tabs>
          <w:tab w:leader="none" w:pos="911"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the General Disclosure Package and the Prospectus or would not, singly or in the aggregate, reasonably be expected to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to the Company’s knowledge, threatened administrative, regulatory or judicial actions, suits, demands, demand letters, claims, liens, notices of noncompliance or violation, investigations or proceedings relating to any Environmental Law against the Company or any of its subsidiaries and (D) to the Company’s knowledge,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10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4"/>
          </w:cols>
          <w:pgMar w:left="876" w:top="274" w:right="479" w:bottom="1440" w:gutter="0" w:footer="0" w:header="0"/>
        </w:sectPr>
      </w:pPr>
    </w:p>
    <w:bookmarkStart w:id="222" w:name="page223"/>
    <w:bookmarkEnd w:id="222"/>
    <w:p>
      <w:pPr>
        <w:ind w:left="4" w:right="140" w:firstLine="419"/>
        <w:spacing w:after="0" w:line="287" w:lineRule="auto"/>
        <w:tabs>
          <w:tab w:leader="none" w:pos="861"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Accounting Controls</w:t>
      </w:r>
      <w:r>
        <w:rPr>
          <w:rFonts w:ascii="Arial" w:cs="Arial" w:eastAsia="Arial" w:hAnsi="Arial"/>
          <w:sz w:val="16"/>
          <w:szCs w:val="16"/>
          <w:color w:val="auto"/>
        </w:rPr>
        <w:t>. The Company and its subsidiaries, on a consolidated basis, maintain a system of effective internal control over financial reporting (as defined under Rule 13-a15 and 15d-15 under the 1934 Act Regulations) and a system of internal accounting controls sufficient to provide reasonable assurances that (A) transactions are executed in accordance with management’s general or specific authorization;</w:t>
      </w:r>
    </w:p>
    <w:p>
      <w:pPr>
        <w:spacing w:after="0" w:line="2" w:lineRule="exact"/>
        <w:rPr>
          <w:rFonts w:ascii="Arial" w:cs="Arial" w:eastAsia="Arial" w:hAnsi="Arial"/>
          <w:sz w:val="16"/>
          <w:szCs w:val="16"/>
          <w:color w:val="auto"/>
        </w:rPr>
      </w:pPr>
    </w:p>
    <w:p>
      <w:pPr>
        <w:ind w:left="4" w:hanging="4"/>
        <w:spacing w:after="0" w:line="286" w:lineRule="auto"/>
        <w:tabs>
          <w:tab w:leader="none" w:pos="28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in the Registration Statement, the General Disclosure Package and the Prospectus fairly presents the information called for in all material respects and is prepared in accordance with the Commission’s rules and regulations applicable thereto.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w:t>
      </w:r>
    </w:p>
    <w:p>
      <w:pPr>
        <w:spacing w:after="0" w:line="64" w:lineRule="exact"/>
        <w:rPr>
          <w:rFonts w:ascii="Arial" w:cs="Arial" w:eastAsia="Arial" w:hAnsi="Arial"/>
          <w:sz w:val="16"/>
          <w:szCs w:val="16"/>
          <w:color w:val="auto"/>
        </w:rPr>
      </w:pPr>
    </w:p>
    <w:p>
      <w:pPr>
        <w:jc w:val="both"/>
        <w:ind w:left="4" w:right="140" w:firstLine="419"/>
        <w:spacing w:after="0" w:line="273" w:lineRule="auto"/>
        <w:tabs>
          <w:tab w:leader="none" w:pos="911"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Compliance with the Sarbanes-Oxley Act.</w:t>
      </w:r>
      <w:r>
        <w:rPr>
          <w:rFonts w:ascii="Arial" w:cs="Arial" w:eastAsia="Arial" w:hAnsi="Arial"/>
          <w:sz w:val="17"/>
          <w:szCs w:val="17"/>
          <w:color w:val="auto"/>
        </w:rPr>
        <w:t xml:space="preserve"> The Company has taken all necessary actions to ensure that, upon the effectiveness of the Registration Statement, it will be in compliance with all provisions of the Sarbanes-Oxley Act of 2002 and all rules and regulations promulgated thereunder or implementing the provisions thereof (the “Sarbanes-Oxley Act”) that are then in effect and with which the Company is required to comply as of the effectiveness of the Registration Statement, and is, or will be, taking steps to enable it to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69" w:lineRule="exact"/>
        <w:rPr>
          <w:rFonts w:ascii="Arial" w:cs="Arial" w:eastAsia="Arial" w:hAnsi="Arial"/>
          <w:sz w:val="17"/>
          <w:szCs w:val="17"/>
          <w:color w:val="auto"/>
        </w:rPr>
      </w:pPr>
    </w:p>
    <w:p>
      <w:pPr>
        <w:ind w:left="4" w:right="60" w:firstLine="419"/>
        <w:spacing w:after="0" w:line="286" w:lineRule="auto"/>
        <w:tabs>
          <w:tab w:leader="none" w:pos="961"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Payment of Taxes</w:t>
      </w:r>
      <w:r>
        <w:rPr>
          <w:rFonts w:ascii="Arial" w:cs="Arial" w:eastAsia="Arial" w:hAnsi="Arial"/>
          <w:sz w:val="16"/>
          <w:szCs w:val="16"/>
          <w:color w:val="auto"/>
        </w:rPr>
        <w:t>. All United States federal income tax returns of the Company and its subsidiaries required by law to be filed by them have been filed or a timely extension has been requested thereof and all taxes shown by such returns, which are due and payable, have been paid, except taxes against which appeals have been or will be promptly taken and as to which adequate reserves have been provided in accordance with GAAP or to the extent any failure to file or pay such taxes or assessments would not result in a Material Adverse Effect. The United States federal income tax returns of the Company through fiscal year ended January 31, 2020 have been filed, and to the Company’s knowledge and no assessment in connection therewith has been made against the Company. The Company and its subsidiaries have filed all other tax returns that are required to have been filed by them pursuant to applicable foreign, state, local or other law except insofar as the failure to do so would not reasonably be expected to result in a Material Adverse Effect, and has paid all taxes due pursuant to such returns or pursuant to any assessment received by the Company and its subsidiaries, except for such taxes, if any, as are being contested in good faith and as to which adequate reserves have been established by the Company in accordance with GAAP or where the failure to do so would not result in a Material Adverse Effect. The charges, accruals and reserves on the books of the Company in respect of any income or corporation tax liability for any years not finally determined are adequate to meet any assessments or re-assessments for additional income tax for any years not finally determined, except to the extent of any inadequacy that would not reasonably be expected to result in a Material Adverse Effect.</w:t>
      </w:r>
    </w:p>
    <w:p>
      <w:pPr>
        <w:spacing w:after="0" w:line="106"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4"/>
          </w:cols>
          <w:pgMar w:left="876" w:top="274" w:right="439" w:bottom="1440" w:gutter="0" w:footer="0" w:header="0"/>
        </w:sectPr>
      </w:pPr>
    </w:p>
    <w:bookmarkStart w:id="223" w:name="page224"/>
    <w:bookmarkEnd w:id="223"/>
    <w:p>
      <w:pPr>
        <w:ind w:right="40" w:firstLine="419"/>
        <w:spacing w:after="0" w:line="254" w:lineRule="auto"/>
        <w:tabs>
          <w:tab w:leader="none" w:pos="1007"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Insurance</w:t>
      </w:r>
      <w:r>
        <w:rPr>
          <w:rFonts w:ascii="Arial" w:cs="Arial" w:eastAsia="Arial" w:hAnsi="Arial"/>
          <w:sz w:val="18"/>
          <w:szCs w:val="18"/>
          <w:color w:val="auto"/>
        </w:rPr>
        <w:t>. The Company and its subsidiaries carry or are entitled to the benefits of insurance, with financially sound and reputable insurers, in such amounts and covering such risks as the Company reasonably believes is generally maintained by companies of established repute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The Company has not been denied any material insurance coverage which has been sought or for which it has applied.</w:t>
      </w:r>
    </w:p>
    <w:p>
      <w:pPr>
        <w:spacing w:after="0" w:line="86" w:lineRule="exact"/>
        <w:rPr>
          <w:rFonts w:ascii="Arial" w:cs="Arial" w:eastAsia="Arial" w:hAnsi="Arial"/>
          <w:sz w:val="18"/>
          <w:szCs w:val="18"/>
          <w:color w:val="auto"/>
        </w:rPr>
      </w:pPr>
    </w:p>
    <w:p>
      <w:pPr>
        <w:ind w:right="80" w:firstLine="419"/>
        <w:spacing w:after="0" w:line="311" w:lineRule="auto"/>
        <w:tabs>
          <w:tab w:leader="none" w:pos="907"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w:t>
      </w:r>
    </w:p>
    <w:p>
      <w:pPr>
        <w:spacing w:after="0" w:line="40" w:lineRule="exact"/>
        <w:rPr>
          <w:rFonts w:ascii="Arial" w:cs="Arial" w:eastAsia="Arial" w:hAnsi="Arial"/>
          <w:sz w:val="16"/>
          <w:szCs w:val="16"/>
          <w:color w:val="auto"/>
        </w:rPr>
      </w:pPr>
    </w:p>
    <w:p>
      <w:pPr>
        <w:ind w:right="120" w:firstLine="419"/>
        <w:spacing w:after="0" w:line="259" w:lineRule="auto"/>
        <w:tabs>
          <w:tab w:leader="none" w:pos="857"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of its controlled affiliates has taken, nor will the Company take or cause any affiliate to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78" w:lineRule="exact"/>
        <w:rPr>
          <w:rFonts w:ascii="Arial" w:cs="Arial" w:eastAsia="Arial" w:hAnsi="Arial"/>
          <w:sz w:val="18"/>
          <w:szCs w:val="18"/>
          <w:color w:val="auto"/>
        </w:rPr>
      </w:pPr>
    </w:p>
    <w:p>
      <w:pPr>
        <w:ind w:right="40" w:firstLine="419"/>
        <w:spacing w:after="0" w:line="289" w:lineRule="auto"/>
        <w:tabs>
          <w:tab w:leader="none" w:pos="907"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Company, any of its subsidiaries, any director, officer, or to the knowledge of the Company, any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58" w:lineRule="exact"/>
        <w:rPr>
          <w:rFonts w:ascii="Arial" w:cs="Arial" w:eastAsia="Arial" w:hAnsi="Arial"/>
          <w:sz w:val="16"/>
          <w:szCs w:val="16"/>
          <w:color w:val="auto"/>
        </w:rPr>
      </w:pPr>
    </w:p>
    <w:p>
      <w:pPr>
        <w:ind w:firstLine="419"/>
        <w:spacing w:after="0" w:line="273" w:lineRule="auto"/>
        <w:tabs>
          <w:tab w:leader="none" w:pos="957"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knowledge of the Company, threatened.</w:t>
      </w:r>
    </w:p>
    <w:p>
      <w:pPr>
        <w:spacing w:after="0" w:line="69" w:lineRule="exact"/>
        <w:rPr>
          <w:rFonts w:ascii="Arial" w:cs="Arial" w:eastAsia="Arial" w:hAnsi="Arial"/>
          <w:sz w:val="17"/>
          <w:szCs w:val="17"/>
          <w:color w:val="auto"/>
        </w:rPr>
      </w:pPr>
    </w:p>
    <w:p>
      <w:pPr>
        <w:ind w:right="20" w:firstLine="419"/>
        <w:spacing w:after="0" w:line="289" w:lineRule="auto"/>
        <w:tabs>
          <w:tab w:leader="none" w:pos="1007"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any director, officer, or to the knowledge of the Company, any agent, employee, affiliate or representative of the Company or any of its subsidiaries is an individual or entity (“Person”)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224" w:name="page225"/>
    <w:bookmarkEnd w:id="224"/>
    <w:p>
      <w:pPr>
        <w:ind w:left="4" w:right="140" w:firstLine="419"/>
        <w:spacing w:after="0" w:line="311" w:lineRule="auto"/>
        <w:tabs>
          <w:tab w:leader="none" w:pos="1001"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Lending Relationship</w:t>
      </w:r>
      <w:r>
        <w:rPr>
          <w:rFonts w:ascii="Arial" w:cs="Arial" w:eastAsia="Arial" w:hAnsi="Arial"/>
          <w:sz w:val="16"/>
          <w:szCs w:val="16"/>
          <w:i w:val="1"/>
          <w:iCs w:val="1"/>
          <w:color w:val="auto"/>
        </w:rPr>
        <w:t>.</w:t>
      </w:r>
      <w:r>
        <w:rPr>
          <w:rFonts w:ascii="Arial" w:cs="Arial" w:eastAsia="Arial" w:hAnsi="Arial"/>
          <w:sz w:val="16"/>
          <w:szCs w:val="16"/>
          <w:color w:val="auto"/>
        </w:rPr>
        <w:t xml:space="preserve"> Except as disclosed in the Registration Statement, the General Disclosure Package and the Prospectus, the Company (i) does not have any material lending relationship with any bank or lending affiliate of any Underwriter and (ii) does not intend to use any of the proceeds from the sale of the Securities to repay any outstanding debt owed to any affiliate of any Underwriter.</w:t>
      </w:r>
    </w:p>
    <w:p>
      <w:pPr>
        <w:spacing w:after="0" w:line="40" w:lineRule="exact"/>
        <w:rPr>
          <w:rFonts w:ascii="Arial" w:cs="Arial" w:eastAsia="Arial" w:hAnsi="Arial"/>
          <w:sz w:val="16"/>
          <w:szCs w:val="16"/>
          <w:color w:val="auto"/>
        </w:rPr>
      </w:pPr>
    </w:p>
    <w:p>
      <w:pPr>
        <w:ind w:left="4" w:right="80" w:firstLine="419"/>
        <w:spacing w:after="0" w:line="311" w:lineRule="auto"/>
        <w:tabs>
          <w:tab w:leader="none" w:pos="951"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Statistical and Market-Related Data</w:t>
      </w:r>
      <w:r>
        <w:rPr>
          <w:rFonts w:ascii="Arial" w:cs="Arial" w:eastAsia="Arial" w:hAnsi="Arial"/>
          <w:sz w:val="16"/>
          <w:szCs w:val="16"/>
          <w:color w:val="auto"/>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40" w:lineRule="exact"/>
        <w:rPr>
          <w:rFonts w:ascii="Arial" w:cs="Arial" w:eastAsia="Arial" w:hAnsi="Arial"/>
          <w:sz w:val="16"/>
          <w:szCs w:val="16"/>
          <w:color w:val="auto"/>
        </w:rPr>
      </w:pPr>
    </w:p>
    <w:p>
      <w:pPr>
        <w:ind w:left="4" w:firstLine="419"/>
        <w:spacing w:after="0" w:line="283" w:lineRule="auto"/>
        <w:tabs>
          <w:tab w:leader="none" w:pos="1001"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Data Privacy and Security Laws</w:t>
      </w:r>
      <w:r>
        <w:rPr>
          <w:rFonts w:ascii="Arial" w:cs="Arial" w:eastAsia="Arial" w:hAnsi="Arial"/>
          <w:sz w:val="16"/>
          <w:szCs w:val="16"/>
          <w:color w:val="auto"/>
        </w:rPr>
        <w:t>. The Company and its subsidiaries have taken commercially reasonable actions to prepare to comply with the European Union General Data Protection Regulation (“</w:t>
      </w:r>
      <w:r>
        <w:rPr>
          <w:rFonts w:ascii="Arial" w:cs="Arial" w:eastAsia="Arial" w:hAnsi="Arial"/>
          <w:sz w:val="16"/>
          <w:szCs w:val="16"/>
          <w:u w:val="single" w:color="auto"/>
          <w:color w:val="auto"/>
        </w:rPr>
        <w:t>GDPR</w:t>
      </w:r>
      <w:r>
        <w:rPr>
          <w:rFonts w:ascii="Arial" w:cs="Arial" w:eastAsia="Arial" w:hAnsi="Arial"/>
          <w:sz w:val="16"/>
          <w:szCs w:val="16"/>
          <w:color w:val="auto"/>
        </w:rPr>
        <w:t>”) (EU 2016/679) and all other applicable laws and regulations with respect to Personal Data (defined below) that have been announced as of the date hereof as becoming effective within 12 months after the date hereof, and for which any non-compliance with same would be reasonably likely to create a material liability (collectively, the “</w:t>
      </w:r>
      <w:r>
        <w:rPr>
          <w:rFonts w:ascii="Arial" w:cs="Arial" w:eastAsia="Arial" w:hAnsi="Arial"/>
          <w:sz w:val="16"/>
          <w:szCs w:val="16"/>
          <w:u w:val="single" w:color="auto"/>
          <w:color w:val="auto"/>
        </w:rPr>
        <w:t>Privacy Laws</w:t>
      </w:r>
      <w:r>
        <w:rPr>
          <w:rFonts w:ascii="Arial" w:cs="Arial" w:eastAsia="Arial" w:hAnsi="Arial"/>
          <w:sz w:val="16"/>
          <w:szCs w:val="16"/>
          <w:color w:val="auto"/>
        </w:rPr>
        <w:t>”). To the Company’s knowledge, since May 25, 2018, the Company and its subsidiaries have been and currently are in material compliance with the GDPR. To support material compliance with the Privacy Laws, the Company and its subsidiaries have taken, and currently take, commercially reasonable steps reasonably designed to ensure compliance in all material respects with Privacy Laws relating to data privacy and security and the collection, storage, use, disclosure, handling, and analysis of Personal Data that the Company has collected, and collects, or is in the Company’s possession. “</w:t>
      </w:r>
      <w:r>
        <w:rPr>
          <w:rFonts w:ascii="Arial" w:cs="Arial" w:eastAsia="Arial" w:hAnsi="Arial"/>
          <w:sz w:val="16"/>
          <w:szCs w:val="16"/>
          <w:u w:val="single" w:color="auto"/>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w:t>
      </w:r>
    </w:p>
    <w:p>
      <w:pPr>
        <w:spacing w:after="0" w:line="3" w:lineRule="exact"/>
        <w:rPr>
          <w:rFonts w:ascii="Arial" w:cs="Arial" w:eastAsia="Arial" w:hAnsi="Arial"/>
          <w:sz w:val="16"/>
          <w:szCs w:val="16"/>
          <w:color w:val="auto"/>
        </w:rPr>
      </w:pPr>
    </w:p>
    <w:p>
      <w:pPr>
        <w:ind w:left="4" w:hanging="4"/>
        <w:spacing w:after="0" w:line="267" w:lineRule="auto"/>
        <w:tabs>
          <w:tab w:leader="none" w:pos="31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“personal data” as defined by GDPR, and (iv) any other piece of information that allows the identification of such natural person. The Company and its subsidiaries since inception have at all times made all disclosures to customers required by applicable Privacy Laws, except where the failure to do so would not, individually or in the aggregate, have a Material Adverse Effect. None of such disclosures made have been inaccurate, misleading, deceptive or in violation of any Privacy Laws in any material respect. The execution, delivery and performance of this Agreement or any other agreement referred to in this Agreement will not result in a breach of violation of any Privacy Laws.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 except, in the case of (i), (ii), or (iii), where such violation, investigation, remediation, order, decree or agreement would not, individually or in the aggregate, reasonably be expected to have a Material Adverse Effect.</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4"/>
          </w:cols>
          <w:pgMar w:left="876" w:top="274" w:right="459" w:bottom="1440" w:gutter="0" w:footer="0" w:header="0"/>
        </w:sectPr>
      </w:pPr>
    </w:p>
    <w:bookmarkStart w:id="225" w:name="page226"/>
    <w:bookmarkEnd w:id="225"/>
    <w:p>
      <w:pPr>
        <w:ind w:left="420" w:firstLine="419"/>
        <w:spacing w:after="0" w:line="283" w:lineRule="auto"/>
        <w:tabs>
          <w:tab w:leader="none" w:pos="1468"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Cybersecurity</w:t>
      </w:r>
      <w:r>
        <w:rPr>
          <w:rFonts w:ascii="Arial" w:cs="Arial" w:eastAsia="Arial" w:hAnsi="Arial"/>
          <w:sz w:val="16"/>
          <w:szCs w:val="16"/>
          <w:color w:val="auto"/>
        </w:rPr>
        <w:t>. (A) To the Company’s knowledge, there has been no security breach or incident, attack, or other compromise of or relating to any of the Company or its subsidiaries information technology and computer systems, networks, hardware, software, data and databases (including the data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(B) neither the Company nor its subsidiaries have been notified of, and each of them have no knowledge of any event or condition that could result in, any security breach or incident, attack or other compromise to their IT Systems and Data and (C) the Company and its subsidiaries have implemented appropriate controls, policies, procedures, and technological safeguards reasonably likely to maintain and protect the integrity, continuous operation, redundancy and security of their IT Systems and Data reasonably consistent with industry standards and practices, or as required by applicable regulatory standards, except in the case of (A), (B) or</w:t>
      </w:r>
    </w:p>
    <w:p>
      <w:pPr>
        <w:spacing w:after="0" w:line="5" w:lineRule="exact"/>
        <w:rPr>
          <w:rFonts w:ascii="Arial" w:cs="Arial" w:eastAsia="Arial" w:hAnsi="Arial"/>
          <w:sz w:val="16"/>
          <w:szCs w:val="16"/>
          <w:color w:val="auto"/>
        </w:rPr>
      </w:pPr>
    </w:p>
    <w:p>
      <w:pPr>
        <w:ind w:left="420" w:hanging="4"/>
        <w:spacing w:after="0" w:line="252"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where the breach, incident attack or other compromise, event or condition or failure to implement appropriate controls, policies, procedures and technological safeguards would not, individually or in the aggregate, have a Material Adverse Effect.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be reasonably expected to result in a Material Adverse Effect.</w:t>
      </w:r>
    </w:p>
    <w:p>
      <w:pPr>
        <w:spacing w:after="0" w:line="86" w:lineRule="exact"/>
        <w:rPr>
          <w:sz w:val="20"/>
          <w:szCs w:val="20"/>
          <w:color w:val="auto"/>
        </w:rPr>
      </w:pPr>
    </w:p>
    <w:p>
      <w:pPr>
        <w:ind w:left="-20" w:right="40" w:firstLine="436"/>
        <w:spacing w:after="0" w:line="263" w:lineRule="auto"/>
        <w:tabs>
          <w:tab w:leader="none" w:pos="675"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Selling Shareholders</w:t>
      </w:r>
      <w:r>
        <w:rPr>
          <w:rFonts w:ascii="Arial" w:cs="Arial" w:eastAsia="Arial" w:hAnsi="Arial"/>
          <w:sz w:val="18"/>
          <w:szCs w:val="18"/>
          <w:color w:val="auto"/>
        </w:rPr>
        <w:t>. Each Selling Shareholder, severally and not jointly, represents and warrants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Underwriter as of the date hereof, as of the Applicable Time, as of the Closing Time and if such Selling Shareholder is selling Option Securities on a Date of Delivery, as of such Date of Delivery, and agrees with each Underwriter, as follows:</w:t>
      </w:r>
    </w:p>
    <w:p>
      <w:pPr>
        <w:spacing w:after="0" w:line="75" w:lineRule="exact"/>
        <w:rPr>
          <w:rFonts w:ascii="Arial" w:cs="Arial" w:eastAsia="Arial" w:hAnsi="Arial"/>
          <w:sz w:val="18"/>
          <w:szCs w:val="18"/>
          <w:color w:val="auto"/>
        </w:rPr>
      </w:pPr>
    </w:p>
    <w:p>
      <w:pPr>
        <w:ind w:left="420" w:right="20" w:firstLine="419"/>
        <w:spacing w:after="0" w:line="287" w:lineRule="auto"/>
        <w:tabs>
          <w:tab w:leader="none" w:pos="1058"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General Disclosure Package nor the Prospectus or any amendments or supplements thereto includes any untrue statement of a material fact or omits to state a material fact necessary in order to make the statements therein, in the light of the circumstances under which they were made, not misleading, provided that such representations and warranties set forth in this subsection (b)</w:t>
      </w:r>
    </w:p>
    <w:p>
      <w:pPr>
        <w:spacing w:after="0" w:line="2" w:lineRule="exact"/>
        <w:rPr>
          <w:rFonts w:ascii="Arial" w:cs="Arial" w:eastAsia="Arial" w:hAnsi="Arial"/>
          <w:sz w:val="16"/>
          <w:szCs w:val="16"/>
          <w:color w:val="auto"/>
        </w:rPr>
      </w:pPr>
    </w:p>
    <w:p>
      <w:pPr>
        <w:ind w:left="420" w:right="40" w:hanging="4"/>
        <w:spacing w:after="0" w:line="287" w:lineRule="auto"/>
        <w:tabs>
          <w:tab w:leader="none" w:pos="63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apply only to statements or omissions made in reliance upon and in conformity with information relating to such Selling Shareholder furnished in writing by or on behalf of such Selling Shareholder expressly for use in the Registration Statement, the General Disclosure Package, the Prospectus or any other Issuer Free Writing Prospectus or any amendment or supplement thereto, it being understood and agreed that the only information furnished by such Selling Shareholder consists of the name of such Selling Shareholder, the number of offered shares and the address and other information with respect to such Selling Shareholder (excluding percentages) which appears in the General Disclosure Package or the Prospectus or any amendment or supplement thereto in the table (and corresponding footnotes) under the caption “Principal and Selling Stockholders” (the “Selling Shareholder Information”); such Selling Shareholder is not prompted to sell the Shares to be sold by such Selling Shareholder hereunder by any material non-public information concerning the Company or any subsidiary of the Company.</w:t>
      </w:r>
    </w:p>
    <w:p>
      <w:pPr>
        <w:spacing w:after="0" w:line="61" w:lineRule="exact"/>
        <w:rPr>
          <w:rFonts w:ascii="Arial" w:cs="Arial" w:eastAsia="Arial" w:hAnsi="Arial"/>
          <w:sz w:val="16"/>
          <w:szCs w:val="16"/>
          <w:color w:val="auto"/>
        </w:rPr>
      </w:pPr>
    </w:p>
    <w:p>
      <w:pPr>
        <w:jc w:val="both"/>
        <w:ind w:left="420" w:right="240" w:firstLine="419"/>
        <w:spacing w:after="0" w:line="263" w:lineRule="auto"/>
        <w:tabs>
          <w:tab w:leader="none" w:pos="1108"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Valid Existence of the Selling Shareholder</w:t>
      </w:r>
      <w:r>
        <w:rPr>
          <w:rFonts w:ascii="Arial" w:cs="Arial" w:eastAsia="Arial" w:hAnsi="Arial"/>
          <w:sz w:val="18"/>
          <w:szCs w:val="18"/>
          <w:color w:val="auto"/>
        </w:rPr>
        <w:t>. If such Selling Shareholder is an entity, such Selling Shareholder has been duly organized and is validly existing under the laws of the jurisdiction of its incorporation or organization and has corporate or similar power and authority to enter into and perform its obligations under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4" w:right="479" w:bottom="1440" w:gutter="0" w:footer="0" w:header="0"/>
        </w:sectPr>
      </w:pPr>
    </w:p>
    <w:bookmarkStart w:id="226" w:name="page227"/>
    <w:bookmarkEnd w:id="226"/>
    <w:p>
      <w:pPr>
        <w:ind w:left="4" w:right="380" w:firstLine="419"/>
        <w:spacing w:after="0" w:line="277" w:lineRule="auto"/>
        <w:tabs>
          <w:tab w:leader="none" w:pos="741"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Authorization of this Agreement</w:t>
      </w:r>
      <w:r>
        <w:rPr>
          <w:rFonts w:ascii="Arial" w:cs="Arial" w:eastAsia="Arial" w:hAnsi="Arial"/>
          <w:sz w:val="18"/>
          <w:szCs w:val="18"/>
          <w:color w:val="auto"/>
        </w:rPr>
        <w:t>. This Agreement has been duly authorized, executed and delivered by or on behalf of such Selling Shareholder.</w:t>
      </w:r>
    </w:p>
    <w:p>
      <w:pPr>
        <w:spacing w:after="0" w:line="62" w:lineRule="exact"/>
        <w:rPr>
          <w:rFonts w:ascii="Arial" w:cs="Arial" w:eastAsia="Arial" w:hAnsi="Arial"/>
          <w:sz w:val="18"/>
          <w:szCs w:val="18"/>
          <w:color w:val="auto"/>
        </w:rPr>
      </w:pPr>
    </w:p>
    <w:p>
      <w:pPr>
        <w:ind w:left="4" w:right="40" w:firstLine="419"/>
        <w:spacing w:after="0" w:line="275" w:lineRule="auto"/>
        <w:tabs>
          <w:tab w:leader="none" w:pos="731" w:val="left"/>
        </w:tabs>
        <w:numPr>
          <w:ilvl w:val="1"/>
          <w:numId w:val="122"/>
        </w:numPr>
        <w:rPr>
          <w:rFonts w:ascii="Arial" w:cs="Arial" w:eastAsia="Arial" w:hAnsi="Arial"/>
          <w:sz w:val="17"/>
          <w:szCs w:val="17"/>
          <w:color w:val="auto"/>
        </w:rPr>
      </w:pPr>
      <w:r>
        <w:rPr>
          <w:rFonts w:ascii="Arial" w:cs="Arial" w:eastAsia="Arial" w:hAnsi="Arial"/>
          <w:sz w:val="17"/>
          <w:szCs w:val="17"/>
          <w:u w:val="single" w:color="auto"/>
          <w:color w:val="auto"/>
        </w:rPr>
        <w:t>Authorization of Power of Attorney and Custody Agreement</w:t>
      </w:r>
      <w:r>
        <w:rPr>
          <w:rFonts w:ascii="Arial" w:cs="Arial" w:eastAsia="Arial" w:hAnsi="Arial"/>
          <w:sz w:val="17"/>
          <w:szCs w:val="17"/>
          <w:color w:val="auto"/>
        </w:rPr>
        <w:t>. Solely with respect to the Non-Insight Selling Shareholders, each of the Power of Attorney (the “Power of Attorney”) and the Custody Agreement (the “Custody Agreement”), in the form heretofore furnished to the Representative(s), has been duly authorized, executed and delivered by or on behalf of such Non-Insight Selling Shareholder and is the valid and binding agreement of such Non-Insight Selling Shareholder subject to bankruptcy, insolvency, fraudulent transfer, reorganization, moratorium and similar laws of general applicability relating to or affecting creditors’ rights and to general equity principles.</w:t>
      </w:r>
    </w:p>
    <w:p>
      <w:pPr>
        <w:spacing w:after="0" w:line="68" w:lineRule="exact"/>
        <w:rPr>
          <w:rFonts w:ascii="Arial" w:cs="Arial" w:eastAsia="Arial" w:hAnsi="Arial"/>
          <w:sz w:val="17"/>
          <w:szCs w:val="17"/>
          <w:color w:val="auto"/>
        </w:rPr>
      </w:pPr>
    </w:p>
    <w:p>
      <w:pPr>
        <w:ind w:left="4" w:firstLine="419"/>
        <w:spacing w:after="0" w:line="286" w:lineRule="auto"/>
        <w:tabs>
          <w:tab w:leader="none" w:pos="681"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and delivery of this Agreement and, as applicable, the Power of Attorney and Custody Agreement and the sale and delivery of the Securities to be sold by such Selling Shareholder and the consummation of the transactions contemplated herein and compliance by such Selling Shareholder with its obligations hereunder do not and will not, whether with or without the giving of notice or passage of time or both, conflict with or constitute a breach of, or default under, or result in the creation or imposition of any tax, lien, charge or encumbrance upon the Securities to be sold by such Selling Shareholder or any property or assets of such Selling Shareholder pursuant to any contract, indenture, mortgage, deed of trust, loan or credit agreement, note, license, lease or other agreement or instrument to which such Selling Shareholder is a party or by which such Selling Shareholder may be bound, or to which any of the property or assets of such Selling Shareholder is subject, nor will such action result in any violation of the provisions of the charter or by-laws or other organizational instrument of such Selling Shareholder, if applicable, or any applicable treaty, law, statute, rule, regulation, judgment, order, writ or decree of any government, government instrumentality or court, domestic or foreign, having jurisdiction over such Selling Shareholder or any of its properties, except for such conflicts, breaches, defaults, liens, charges, encumbrances and taxes, as would not, individually or in the aggregate, have a material adverse effect on the ability of such Selling Shareholder to consummate the transactions contemplated by this Agreement and, as applicable, the Power of Attorney and the Custody Agreement (a “Selling Shareholder Material Adverse Effect”).</w:t>
      </w:r>
    </w:p>
    <w:p>
      <w:pPr>
        <w:spacing w:after="0" w:line="65" w:lineRule="exact"/>
        <w:rPr>
          <w:rFonts w:ascii="Arial" w:cs="Arial" w:eastAsia="Arial" w:hAnsi="Arial"/>
          <w:sz w:val="16"/>
          <w:szCs w:val="16"/>
          <w:color w:val="auto"/>
        </w:rPr>
      </w:pPr>
    </w:p>
    <w:p>
      <w:pPr>
        <w:ind w:left="4" w:right="140" w:firstLine="419"/>
        <w:spacing w:after="0" w:line="283" w:lineRule="auto"/>
        <w:tabs>
          <w:tab w:leader="none" w:pos="731"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Delivery of Securities</w:t>
      </w:r>
      <w:r>
        <w:rPr>
          <w:rFonts w:ascii="Arial" w:cs="Arial" w:eastAsia="Arial" w:hAnsi="Arial"/>
          <w:sz w:val="16"/>
          <w:szCs w:val="16"/>
          <w:color w:val="auto"/>
        </w:rPr>
        <w:t>. Upon payment of the purchase price for the Securities to be sold by such Selling Shareholder pursuant to this Agreement, delivery of such Securities, as directed by the Underwriters, to Cede &amp; Co. (“Cede”) or such other nominee as may be designated by The Depository Trust Company (“DTC”) (unless delivery of such Securities is unnecessary because such Securities are already in possession of Cede or such nominee), registration of such Securities in the name of Cede or such other nominee (unless registration of such Securities is unnecessary because such Securities are already registered in the name of Cede or such nominee), and the crediting of such Securities on the books of DTC to securities accounts (within the meaning of Section 8-501(a) of the UCC) of the Underwriters (assuming that neither DTC nor any such Underwriter has notice of any “adverse claim,” within the meaning of Section 8-105 of the Uniform Commercial Code then in effect in the State of New York (“UCC”), to such Securities), (A) under Section 8-501 of the UCC, the Underwriters will acquire a valid “security entitlement” in respect of such Securities and (B) no action (whether framed in conversion, replevin, constructive trust, equitable lien, or other theory) based on any “adverse claim,” within the meaning of Section 8-102 of the UCC, to such Securities may be successfully asserted against the Underwriters with respect to such security entitlement; for purposes of this representation, such Selling Shareholder may assume that when such payment, delivery (if necessary) and crediting occur, (I) such Securities will have been registered in the name of Cede or another nominee designated by DTC, in each case on the Company’s share registry in accordance with its certificate of incorporation, bylaws and applicable law,</w:t>
      </w:r>
    </w:p>
    <w:p>
      <w:pPr>
        <w:spacing w:after="0" w:line="1" w:lineRule="exact"/>
        <w:rPr>
          <w:rFonts w:ascii="Arial" w:cs="Arial" w:eastAsia="Arial" w:hAnsi="Arial"/>
          <w:sz w:val="16"/>
          <w:szCs w:val="16"/>
          <w:color w:val="auto"/>
        </w:rPr>
      </w:pPr>
    </w:p>
    <w:p>
      <w:pPr>
        <w:ind w:left="4" w:right="60" w:hanging="4"/>
        <w:spacing w:after="0" w:line="268" w:lineRule="auto"/>
        <w:tabs>
          <w:tab w:leader="none" w:pos="28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DTC will be registered as a “clearing corporation,” within the meaning of Section 8-102 of the UCC, (III) appropriate entries to the accounts of the several Underwriters on the records of DTC will have been made pursuant to the UCC, (IV) to the extent DTC, or any other securities intermediary which acts as “clearing corporation” with respect to the Securities, maintains any “financial asset” (as defined in Section 8-102(a)(9) of the UCC in a clearing corporation pursuant to Section 8-111 of the UCC, the rules of such clearing corporation may affect the rights of DTC or such securities intermediaries and the ownership interest of the Underwriters, (V) claims of creditors of DTC or any other securities intermediary or clearing corporation may be given priority to the extent set forth in Section 8-511(b) and 8-511(c) of the UCC and (VI) if at any time DTC or other securities intermediary does not have sufficient Securities to satisfy claims of all of its entitlement holders with respect thereto then all holders will share pro rata in the Securities then held by DTC or such securities intermediary.</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4"/>
          </w:cols>
          <w:pgMar w:left="876" w:top="274" w:right="459" w:bottom="1440" w:gutter="0" w:footer="0" w:header="0"/>
        </w:sectPr>
      </w:pPr>
    </w:p>
    <w:bookmarkStart w:id="227" w:name="page228"/>
    <w:bookmarkEnd w:id="227"/>
    <w:p>
      <w:pPr>
        <w:ind w:left="420" w:firstLine="419"/>
        <w:spacing w:after="0" w:line="263" w:lineRule="auto"/>
        <w:tabs>
          <w:tab w:leader="none" w:pos="1198"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Absence of Manipulation</w:t>
      </w:r>
      <w:r>
        <w:rPr>
          <w:rFonts w:ascii="Arial" w:cs="Arial" w:eastAsia="Arial" w:hAnsi="Arial"/>
          <w:sz w:val="18"/>
          <w:szCs w:val="18"/>
          <w:color w:val="auto"/>
        </w:rPr>
        <w:t>. Such Selling Shareholder has not taken, and will not take, directly or indirectly, any action which is designed to or which constituted or would be expected to cause or result in stabilization or manipulation of the price of any security of the Company to facilitate the sale or resale of the Securities.</w:t>
      </w:r>
    </w:p>
    <w:p>
      <w:pPr>
        <w:spacing w:after="0" w:line="75" w:lineRule="exact"/>
        <w:rPr>
          <w:rFonts w:ascii="Arial" w:cs="Arial" w:eastAsia="Arial" w:hAnsi="Arial"/>
          <w:sz w:val="18"/>
          <w:szCs w:val="18"/>
          <w:color w:val="auto"/>
        </w:rPr>
      </w:pPr>
    </w:p>
    <w:p>
      <w:pPr>
        <w:ind w:left="420" w:firstLine="419"/>
        <w:spacing w:after="0" w:line="254" w:lineRule="auto"/>
        <w:tabs>
          <w:tab w:leader="none" w:pos="1248"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Absence of Further Requirements</w:t>
      </w:r>
      <w:r>
        <w:rPr>
          <w:rFonts w:ascii="Arial" w:cs="Arial" w:eastAsia="Arial" w:hAnsi="Arial"/>
          <w:sz w:val="18"/>
          <w:szCs w:val="18"/>
          <w:color w:val="auto"/>
        </w:rPr>
        <w:t>. No filing with, or consent, approval, authorization, order, registration, qualification or decree of any arbitrator, court, governmental body, regulatory body, administrative agency or other authority, body or agency, domestic or foreign, is necessary or required to be made or obtained by such Selling Shareholder for the performance by such Selling Shareholder of its obligations hereunder or, as applicable, in the Power of Attorney and Custody Agreement, or in connection with the sale and delivery of the Securities hereunder or the consummation of the transactions contemplated by this Agreement, except such as have been already obtained or as may be required under the 1933 Act, the 1933 Act Regulations, the rules of Nasdaq, state securities laws or the rules of FINRA, except for such consents, approvals, authorizations, orders or qualifications as would not, individually or in the aggregate, be reasonably expected to have a Selling Shareholder Material Adverse Effect.</w:t>
      </w:r>
    </w:p>
    <w:p>
      <w:pPr>
        <w:spacing w:after="0" w:line="83" w:lineRule="exact"/>
        <w:rPr>
          <w:rFonts w:ascii="Arial" w:cs="Arial" w:eastAsia="Arial" w:hAnsi="Arial"/>
          <w:sz w:val="18"/>
          <w:szCs w:val="18"/>
          <w:color w:val="auto"/>
        </w:rPr>
      </w:pPr>
    </w:p>
    <w:p>
      <w:pPr>
        <w:ind w:left="420" w:right="80" w:firstLine="419"/>
        <w:spacing w:after="0" w:line="342" w:lineRule="auto"/>
        <w:tabs>
          <w:tab w:leader="none" w:pos="1148"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No Free Writing Prospectuses</w:t>
      </w:r>
      <w:r>
        <w:rPr>
          <w:rFonts w:ascii="Arial" w:cs="Arial" w:eastAsia="Arial" w:hAnsi="Arial"/>
          <w:sz w:val="16"/>
          <w:szCs w:val="16"/>
          <w:color w:val="auto"/>
        </w:rPr>
        <w:t>. Such Selling Shareholder has not prepared or had prepared on its behalf or used or referred to, any “free writing prospectus” (as defined in Rule 405), and has not distributed any written materials in connection with the offer or sale of the Securities.</w:t>
      </w:r>
    </w:p>
    <w:p>
      <w:pPr>
        <w:spacing w:after="0" w:line="15" w:lineRule="exact"/>
        <w:rPr>
          <w:rFonts w:ascii="Arial" w:cs="Arial" w:eastAsia="Arial" w:hAnsi="Arial"/>
          <w:sz w:val="16"/>
          <w:szCs w:val="16"/>
          <w:color w:val="auto"/>
        </w:rPr>
      </w:pPr>
    </w:p>
    <w:p>
      <w:pPr>
        <w:ind w:left="1100" w:hanging="261"/>
        <w:spacing w:after="0"/>
        <w:tabs>
          <w:tab w:leader="none" w:pos="1100"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Compliance Matters</w:t>
      </w:r>
      <w:r>
        <w:rPr>
          <w:rFonts w:ascii="Arial" w:cs="Arial" w:eastAsia="Arial" w:hAnsi="Arial"/>
          <w:sz w:val="17"/>
          <w:szCs w:val="17"/>
          <w:color w:val="auto"/>
        </w:rPr>
        <w:t>. Such Selling Shareholder will not directly or indirectly use the net proceeds received by it from the sale of</w:t>
      </w:r>
    </w:p>
    <w:p>
      <w:pPr>
        <w:spacing w:after="0" w:line="34" w:lineRule="exact"/>
        <w:rPr>
          <w:rFonts w:ascii="Arial" w:cs="Arial" w:eastAsia="Arial" w:hAnsi="Arial"/>
          <w:sz w:val="17"/>
          <w:szCs w:val="17"/>
          <w:color w:val="auto"/>
        </w:rPr>
      </w:pPr>
    </w:p>
    <w:p>
      <w:pPr>
        <w:ind w:left="420"/>
        <w:spacing w:after="0" w:line="252" w:lineRule="auto"/>
        <w:rPr>
          <w:rFonts w:ascii="Arial" w:cs="Arial" w:eastAsia="Arial" w:hAnsi="Arial"/>
          <w:sz w:val="17"/>
          <w:szCs w:val="17"/>
          <w:color w:val="auto"/>
        </w:rPr>
      </w:pPr>
      <w:r>
        <w:rPr>
          <w:rFonts w:ascii="Arial" w:cs="Arial" w:eastAsia="Arial" w:hAnsi="Arial"/>
          <w:sz w:val="18"/>
          <w:szCs w:val="18"/>
          <w:color w:val="auto"/>
        </w:rPr>
        <w:t>Securities, or lend, contribute or otherwise make available such proceeds to any subsidiaries, joint venture partners or other Person, (i) to fund any activities of or business with any Person, or in any country or territory, that, at the time of such funding, is the subject of Sanctions, in each case to the extent prohibited by such Sanctions, or in any other manner that will result in a violation by any Person (including any Person participating in the transaction, whether as underwriter, advisor, investor or otherwise) of Sanctions, or (ii) in furtherance of an offer, payment, promise to pay or authorization of the payment or giving of money, or anything else of value, to any person in violation of any Money Laundering Laws or any applicable anti-bribery or anti-corruption laws.</w:t>
      </w:r>
    </w:p>
    <w:p>
      <w:pPr>
        <w:spacing w:after="0" w:line="85" w:lineRule="exact"/>
        <w:rPr>
          <w:rFonts w:ascii="Arial" w:cs="Arial" w:eastAsia="Arial" w:hAnsi="Arial"/>
          <w:sz w:val="17"/>
          <w:szCs w:val="17"/>
          <w:color w:val="auto"/>
        </w:rPr>
      </w:pPr>
    </w:p>
    <w:p>
      <w:pPr>
        <w:ind w:left="-20" w:right="20" w:firstLine="436"/>
        <w:spacing w:after="0" w:line="257" w:lineRule="auto"/>
        <w:tabs>
          <w:tab w:leader="none" w:pos="66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or any of its subsidiaries delivered to the Representatives or to</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for the Underwriters pursuant to this Agreement shall be deemed a representation and warranty by the Company to each Underwriter as to the matters covered thereby; and any certificate signed by or on behalf of any Selling Shareholder as such and delivered to the Representatives or to counsel for the Underwriters pursuant to the terms of this Agreement shall be deemed a representation and warranty by such Selling Shareholder to the Underwriters as to the matters covered thereby.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60" w:top="274" w:right="479" w:bottom="1440" w:gutter="0" w:footer="0" w:header="0"/>
        </w:sectPr>
      </w:pPr>
    </w:p>
    <w:bookmarkStart w:id="228" w:name="page229"/>
    <w:bookmarkEnd w:id="2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91" w:lineRule="auto"/>
        <w:tabs>
          <w:tab w:leader="none" w:pos="685"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Initial Securities</w:t>
      </w:r>
      <w:r>
        <w:rPr>
          <w:rFonts w:ascii="Arial" w:cs="Arial" w:eastAsia="Arial" w:hAnsi="Arial"/>
          <w:sz w:val="16"/>
          <w:szCs w:val="16"/>
          <w:color w:val="auto"/>
        </w:rPr>
        <w:t>. On the basis of the representations and warranties herein contained and subject to the terms and conditions herein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Selling Shareholders, severally and not jointly, agrees to sell to each Underwriter, severally and not jointly, and each Underwriter, severally and not jointly, agrees to purchase from each Selling Shareholder, at the price per share set forth in Schedule A, that proportion of the number of Initial Securities set forth in Schedule B opposite the name of such Selling Shareholder, which number of Initial Securities set forth in Schedule A opposite the name of such Underwriter, plus any additional number of Initial Securities which such Underwriter may become obligated to purchase pursuant to the provisions of Section 10 hereof, bears to the total number of Initial Securities (each Underwriter’s “Pro Rata Share”), subject, in each case, to such adjustments among the Underwriters as the Representatives in their sole discretion shall make to eliminate any sales or purchases of fractional shares.</w:t>
      </w:r>
    </w:p>
    <w:p>
      <w:pPr>
        <w:spacing w:after="0" w:line="58" w:lineRule="exact"/>
        <w:rPr>
          <w:rFonts w:ascii="Arial" w:cs="Arial" w:eastAsia="Arial" w:hAnsi="Arial"/>
          <w:sz w:val="16"/>
          <w:szCs w:val="16"/>
          <w:color w:val="auto"/>
        </w:rPr>
      </w:pPr>
    </w:p>
    <w:p>
      <w:pPr>
        <w:ind w:right="40" w:firstLine="436"/>
        <w:spacing w:after="0" w:line="286" w:lineRule="auto"/>
        <w:tabs>
          <w:tab w:leader="none" w:pos="695"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Option Securities</w:t>
      </w:r>
      <w:r>
        <w:rPr>
          <w:rFonts w:ascii="Arial" w:cs="Arial" w:eastAsia="Arial" w:hAnsi="Arial"/>
          <w:sz w:val="16"/>
          <w:szCs w:val="16"/>
          <w:color w:val="auto"/>
        </w:rPr>
        <w:t>. In addition, on the basis of the representations and warranties herein contained and subject to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herein set forth, each of the Selling Shareholders, severally and not jointly, hereby grants an option to the Underwriters, severally and not jointly, to purchase from each Selling Shareholder each Underwriter’s Pro Rata Share, subject to such adjustments among the Underwriters as the Representatives in their sole discretion shall make to eliminate any sales or purchases of fractional shares, of the number of Option Securities set forth in Schedule B opposite the name of such Selling Shareholder,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Selling Shareholders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62" w:lineRule="exact"/>
        <w:rPr>
          <w:rFonts w:ascii="Arial" w:cs="Arial" w:eastAsia="Arial" w:hAnsi="Arial"/>
          <w:sz w:val="16"/>
          <w:szCs w:val="16"/>
          <w:color w:val="auto"/>
        </w:rPr>
      </w:pPr>
    </w:p>
    <w:p>
      <w:pPr>
        <w:ind w:right="120" w:firstLine="436"/>
        <w:spacing w:after="0" w:line="273" w:lineRule="auto"/>
        <w:tabs>
          <w:tab w:leader="none" w:pos="685"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Payment</w:t>
      </w:r>
      <w:r>
        <w:rPr>
          <w:rFonts w:ascii="Arial" w:cs="Arial" w:eastAsia="Arial" w:hAnsi="Arial"/>
          <w:sz w:val="17"/>
          <w:szCs w:val="17"/>
          <w:color w:val="auto"/>
        </w:rPr>
        <w:t>. Payment of the purchase price for, and delivery of certificates or security entitlements for, the Initial Securities shall be made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offices of Ropes &amp; Gray LLP, 1211 Avenue of the Americas, New York, NY 10036, or at such other place as shall be agreed upon by the Representatives, the Company and the Selling Shareholders,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the Company and the Selling Shareholders (such time and date of payment and delivery being herein called “Closing Time”).</w:t>
      </w:r>
    </w:p>
    <w:p>
      <w:pPr>
        <w:spacing w:after="0" w:line="178"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the Company and the Selling Shareholders, on each Date of Delivery as specified in the notice from the Representatives to the Selling Shareholders.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229" w:name="page230"/>
    <w:bookmarkEnd w:id="229"/>
    <w:p>
      <w:pPr>
        <w:ind w:left="4"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shall be made to the Selling Shareholders by wire transfer of immediately available funds to a bank account designated by (i) in the case of the Insight Selling Shareholders, the Insight Selling Shareholders, and (ii) in the case of the Non-Insight Selling Shareholders, the Custodian pursuant to each Non-Insight Selling Shareholder’s Power of Attorney and Custody Agreement, in each case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BofAS,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8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 and the Selling Shareholders</w:t>
      </w:r>
      <w:r>
        <w:rPr>
          <w:rFonts w:ascii="Arial" w:cs="Arial" w:eastAsia="Arial" w:hAnsi="Arial"/>
          <w:sz w:val="18"/>
          <w:szCs w:val="18"/>
          <w:color w:val="auto"/>
        </w:rPr>
        <w:t>. The Company and, solely with respect to paragraphs (g) and (l), each of the Selling Shareholders, severally and not jointly, covenants with each Underwriter as follows:</w:t>
      </w:r>
    </w:p>
    <w:p>
      <w:pPr>
        <w:spacing w:after="0" w:line="62" w:lineRule="exact"/>
        <w:rPr>
          <w:sz w:val="20"/>
          <w:szCs w:val="20"/>
          <w:color w:val="auto"/>
        </w:rPr>
      </w:pPr>
    </w:p>
    <w:p>
      <w:pPr>
        <w:ind w:left="4" w:right="40" w:firstLine="436"/>
        <w:spacing w:after="0" w:line="284" w:lineRule="auto"/>
        <w:tabs>
          <w:tab w:leader="none" w:pos="689" w:val="left"/>
        </w:tabs>
        <w:numPr>
          <w:ilvl w:val="1"/>
          <w:numId w:val="127"/>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Rule 430A, and will notify the Representatives promptly,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w:t>
      </w:r>
    </w:p>
    <w:p>
      <w:pPr>
        <w:ind w:left="4" w:right="60" w:hanging="4"/>
        <w:spacing w:after="0" w:line="252" w:lineRule="auto"/>
        <w:tabs>
          <w:tab w:leader="none" w:pos="25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reasonably practicable.</w:t>
      </w:r>
    </w:p>
    <w:p>
      <w:pPr>
        <w:spacing w:after="0" w:line="12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30" w:name="page231"/>
    <w:bookmarkEnd w:id="230"/>
    <w:p>
      <w:pPr>
        <w:ind w:left="-20" w:right="20" w:firstLine="436"/>
        <w:spacing w:after="0" w:line="267" w:lineRule="auto"/>
        <w:tabs>
          <w:tab w:leader="none" w:pos="675"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Continued Compliance with Securities Laws</w:t>
      </w:r>
      <w:r>
        <w:rPr>
          <w:rFonts w:ascii="Arial" w:cs="Arial" w:eastAsia="Arial" w:hAnsi="Arial"/>
          <w:sz w:val="17"/>
          <w:szCs w:val="17"/>
          <w:color w:val="auto"/>
        </w:rPr>
        <w:t>. The Company will comply with the 1933 Act and the 1933 Act Regulations so as to permit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The Company has given the Representative notice of any filings made pursuant to the 1934 Act or 1934 Act Regulations within 48 hours prior to the Applicable Time; the Company will give the Representative(s) notice of its intention to make any such filing from the Applicable Time to the Closing Time and will furnish the Representative with copies of any such documents a reasonable amount of time prior to such proposed filing, as the case may be, and will not file or use any such document to which the Representative(s) or counsel for the Underwriters shall reasonably object.</w:t>
      </w:r>
    </w:p>
    <w:p>
      <w:pPr>
        <w:spacing w:after="0" w:line="77" w:lineRule="exact"/>
        <w:rPr>
          <w:rFonts w:ascii="Arial" w:cs="Arial" w:eastAsia="Arial" w:hAnsi="Arial"/>
          <w:sz w:val="17"/>
          <w:szCs w:val="17"/>
          <w:color w:val="auto"/>
        </w:rPr>
      </w:pPr>
    </w:p>
    <w:p>
      <w:pPr>
        <w:ind w:left="-20" w:right="120" w:firstLine="436"/>
        <w:spacing w:after="0" w:line="273" w:lineRule="auto"/>
        <w:tabs>
          <w:tab w:leader="none" w:pos="665"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Delivery of Registration Statements</w:t>
      </w:r>
      <w:r>
        <w:rPr>
          <w:rFonts w:ascii="Arial" w:cs="Arial" w:eastAsia="Arial" w:hAnsi="Arial"/>
          <w:sz w:val="17"/>
          <w:szCs w:val="17"/>
          <w:color w:val="auto"/>
        </w:rPr>
        <w:t>. The Company has furnished or will deliver to the Representatives and counsel for the Underwriters,</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charge, conformed copies of the Registration Statement as originally filed and each amendment thereto (including exhibits filed therewith) and conformed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69" w:lineRule="exact"/>
        <w:rPr>
          <w:rFonts w:ascii="Arial" w:cs="Arial" w:eastAsia="Arial" w:hAnsi="Arial"/>
          <w:sz w:val="17"/>
          <w:szCs w:val="17"/>
          <w:color w:val="auto"/>
        </w:rPr>
      </w:pPr>
    </w:p>
    <w:p>
      <w:pPr>
        <w:ind w:left="-20" w:firstLine="436"/>
        <w:spacing w:after="0" w:line="293" w:lineRule="auto"/>
        <w:tabs>
          <w:tab w:leader="none" w:pos="675"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each Underwriter, without charge, as many copies of each preliminary prospectus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56" w:lineRule="exact"/>
        <w:rPr>
          <w:rFonts w:ascii="Arial" w:cs="Arial" w:eastAsia="Arial" w:hAnsi="Arial"/>
          <w:sz w:val="16"/>
          <w:szCs w:val="16"/>
          <w:color w:val="auto"/>
        </w:rPr>
      </w:pPr>
    </w:p>
    <w:p>
      <w:pPr>
        <w:ind w:left="-20" w:right="80" w:firstLine="436"/>
        <w:spacing w:after="0" w:line="255" w:lineRule="auto"/>
        <w:tabs>
          <w:tab w:leader="none" w:pos="665"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Blue Sky Qualifications</w:t>
      </w:r>
      <w:r>
        <w:rPr>
          <w:rFonts w:ascii="Arial" w:cs="Arial" w:eastAsia="Arial" w:hAnsi="Arial"/>
          <w:sz w:val="18"/>
          <w:szCs w:val="18"/>
          <w:color w:val="auto"/>
        </w:rPr>
        <w:t>. If required by applicable law, the Company will use its commercially reasonable efforts, in cooperation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to qualify the Securities for 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231" w:name="page232"/>
    <w:bookmarkEnd w:id="231"/>
    <w:p>
      <w:pPr>
        <w:ind w:left="4" w:right="60" w:firstLine="436"/>
        <w:spacing w:after="0" w:line="286" w:lineRule="auto"/>
        <w:tabs>
          <w:tab w:leader="none" w:pos="669" w:val="left"/>
        </w:tabs>
        <w:numPr>
          <w:ilvl w:val="1"/>
          <w:numId w:val="13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 158</w:t>
      </w:r>
      <w:r>
        <w:rPr>
          <w:rFonts w:ascii="Arial" w:cs="Arial" w:eastAsia="Arial" w:hAnsi="Arial"/>
          <w:sz w:val="17"/>
          <w:szCs w:val="17"/>
          <w:color w:val="auto"/>
        </w:rPr>
        <w:t>. The Company will timely file such reports pursuant to the 1934 Act as are necessary in order to make generally available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be satisfied by filing with the Commission pursuant to EDGAR) to its securityholders as soon as practicable an earnings statement for the purposes of, and to provide to the Underwriters the benefits contemplated by, the last paragraph of Section 11(a) of the 1933 Act.</w:t>
      </w:r>
    </w:p>
    <w:p>
      <w:pPr>
        <w:spacing w:after="0" w:line="57" w:lineRule="exact"/>
        <w:rPr>
          <w:rFonts w:ascii="Arial" w:cs="Arial" w:eastAsia="Arial" w:hAnsi="Arial"/>
          <w:sz w:val="17"/>
          <w:szCs w:val="17"/>
          <w:color w:val="auto"/>
        </w:rPr>
      </w:pPr>
    </w:p>
    <w:p>
      <w:pPr>
        <w:ind w:left="704" w:hanging="264"/>
        <w:spacing w:after="0"/>
        <w:tabs>
          <w:tab w:leader="none" w:pos="704" w:val="left"/>
        </w:tabs>
        <w:numPr>
          <w:ilvl w:val="1"/>
          <w:numId w:val="130"/>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Such Selling Shareholder will not use the net proceeds received by it from the sale of Securities in violation of any Sanctions.</w:t>
      </w:r>
    </w:p>
    <w:p>
      <w:pPr>
        <w:spacing w:after="0" w:line="140" w:lineRule="exact"/>
        <w:rPr>
          <w:rFonts w:ascii="Arial" w:cs="Arial" w:eastAsia="Arial" w:hAnsi="Arial"/>
          <w:sz w:val="16"/>
          <w:szCs w:val="16"/>
          <w:color w:val="auto"/>
        </w:rPr>
      </w:pPr>
    </w:p>
    <w:p>
      <w:pPr>
        <w:ind w:left="704" w:hanging="264"/>
        <w:spacing w:after="0"/>
        <w:tabs>
          <w:tab w:leader="none" w:pos="704" w:val="left"/>
        </w:tabs>
        <w:numPr>
          <w:ilvl w:val="1"/>
          <w:numId w:val="130"/>
        </w:numPr>
        <w:rPr>
          <w:rFonts w:ascii="Arial" w:cs="Arial" w:eastAsia="Arial" w:hAnsi="Arial"/>
          <w:sz w:val="16"/>
          <w:szCs w:val="16"/>
          <w:color w:val="auto"/>
        </w:rPr>
      </w:pPr>
      <w:r>
        <w:rPr>
          <w:rFonts w:ascii="Arial" w:cs="Arial" w:eastAsia="Arial" w:hAnsi="Arial"/>
          <w:sz w:val="16"/>
          <w:szCs w:val="16"/>
          <w:i w:val="1"/>
          <w:iCs w:val="1"/>
          <w:color w:val="auto"/>
        </w:rPr>
        <w:t>Listing</w:t>
      </w:r>
      <w:r>
        <w:rPr>
          <w:rFonts w:ascii="Arial" w:cs="Arial" w:eastAsia="Arial" w:hAnsi="Arial"/>
          <w:sz w:val="16"/>
          <w:szCs w:val="16"/>
          <w:color w:val="auto"/>
        </w:rPr>
        <w:t>. The Company will use its reasonable best efforts to effect and maintain the listing of the Common Stock (including the Securities) on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102" w:lineRule="exact"/>
        <w:rPr>
          <w:rFonts w:ascii="Arial" w:cs="Arial" w:eastAsia="Arial" w:hAnsi="Arial"/>
          <w:sz w:val="16"/>
          <w:szCs w:val="16"/>
          <w:color w:val="auto"/>
        </w:rPr>
      </w:pPr>
    </w:p>
    <w:p>
      <w:pPr>
        <w:ind w:left="4" w:firstLine="436"/>
        <w:spacing w:after="0" w:line="282" w:lineRule="auto"/>
        <w:tabs>
          <w:tab w:leader="none" w:pos="659" w:val="left"/>
        </w:tabs>
        <w:numPr>
          <w:ilvl w:val="1"/>
          <w:numId w:val="130"/>
        </w:numPr>
        <w:rPr>
          <w:rFonts w:ascii="Arial" w:cs="Arial" w:eastAsia="Arial" w:hAnsi="Arial"/>
          <w:sz w:val="16"/>
          <w:szCs w:val="16"/>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90 days from the date of the Prospectus, the Company will not, without the prior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The foregoing sentence shall not apply to (A) the Securities to be sold hereunder, (B) any shares of Common Stock issued by the Company upon the exercise of an option, warrant, or vesting of any restricted stock units, or the conversion of a security outstanding on the date hereof and referred to in the Registration Statement, the General Disclosure Package and the Prospectus, (C) any shares of Common Stock issued or options to purchase Common Stock or restricted stock units covering shares of Common Stock granted pursuant to existing employee benefit plans or equity incentive plans of the Company referred to in the Registration Statement, the General Disclosure Package and the Prospectus, (D) any shares of Common Stock issued, options to purchase shares of Common Stock granted, or restricted stock units covering shares of Common Stock granted, pursuant to any non-employee director stock plan or dividend reinvestment plan referred to in the Registration Statement, the General Disclosure Package and the Prospectus, (E) the filing by the Company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or (F) the sale or issuance of or entry into an agreement to sell or issue shares of Common Stock or other securities issued in connection with any (1) merger, (2) acquisition of securities, businesses, properties or other assets, (3) joint venture or (4) strategic alliance or relationship; provided, that the aggregate number of shares issued pursuant to this clause (F) shall not exceed 10.0% of the total number of outstanding shares of Common Stock immediately following the issuance and sale of the Securities; provided further that the recipient of any such shares of Common Stock or securities issued pursuant to clauses (B), (C), (D) and</w:t>
      </w:r>
    </w:p>
    <w:p>
      <w:pPr>
        <w:spacing w:after="0" w:line="10" w:lineRule="exact"/>
        <w:rPr>
          <w:rFonts w:ascii="Arial" w:cs="Arial" w:eastAsia="Arial" w:hAnsi="Arial"/>
          <w:sz w:val="16"/>
          <w:szCs w:val="16"/>
          <w:color w:val="auto"/>
        </w:rPr>
      </w:pPr>
    </w:p>
    <w:p>
      <w:pPr>
        <w:ind w:left="4" w:right="180" w:hanging="4"/>
        <w:spacing w:after="0" w:line="290" w:lineRule="auto"/>
        <w:tabs>
          <w:tab w:leader="none" w:pos="26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during the 90-day restricted period shall enter into an agreement substantially in the form of Exhibit A hereto with respect to (and not in excess of) the 90-day restricted period and only if such recipient did not previously enter into such an agreement with the Representatives.</w:t>
      </w:r>
    </w:p>
    <w:p>
      <w:pPr>
        <w:spacing w:after="0" w:line="53" w:lineRule="exact"/>
        <w:rPr>
          <w:rFonts w:ascii="Arial" w:cs="Arial" w:eastAsia="Arial" w:hAnsi="Arial"/>
          <w:sz w:val="17"/>
          <w:szCs w:val="17"/>
          <w:color w:val="auto"/>
        </w:rPr>
      </w:pPr>
    </w:p>
    <w:p>
      <w:pPr>
        <w:jc w:val="both"/>
        <w:ind w:left="4" w:right="120" w:firstLine="436"/>
        <w:spacing w:after="0" w:line="259" w:lineRule="auto"/>
        <w:tabs>
          <w:tab w:leader="none" w:pos="659"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 by</w:t>
      </w:r>
      <w:r>
        <w:rPr>
          <w:rFonts w:ascii="Arial" w:cs="Arial" w:eastAsia="Arial" w:hAnsi="Arial"/>
          <w:sz w:val="18"/>
          <w:szCs w:val="18"/>
          <w:i w:val="1"/>
          <w:iCs w:val="1"/>
          <w:color w:val="auto"/>
        </w:rPr>
        <w:t xml:space="preserve"> </w:t>
      </w:r>
      <w:r>
        <w:rPr>
          <w:rFonts w:ascii="Arial" w:cs="Arial" w:eastAsia="Arial" w:hAnsi="Arial"/>
          <w:sz w:val="18"/>
          <w:szCs w:val="18"/>
          <w:color w:val="auto"/>
        </w:rPr>
        <w:t>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32" w:name="page233"/>
    <w:bookmarkEnd w:id="232"/>
    <w:p>
      <w:pPr>
        <w:ind w:right="40" w:firstLine="436"/>
        <w:spacing w:after="0" w:line="268" w:lineRule="auto"/>
        <w:tabs>
          <w:tab w:leader="none" w:pos="695"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Issuer Free Writing Prospectuses</w:t>
      </w:r>
      <w:r>
        <w:rPr>
          <w:rFonts w:ascii="Arial" w:cs="Arial" w:eastAsia="Arial" w:hAnsi="Arial"/>
          <w:sz w:val="17"/>
          <w:szCs w:val="17"/>
          <w:color w:val="auto"/>
        </w:rPr>
        <w:t>. Each of the Company and each Selling Shareholder agrees that, unless it obtains the prior written consent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Representatives,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for an offering that is a written communication” within the meaning of Rule 433(d)(8)(i) that has been reviewed by the Representatives. Each of the Company and each Selling Shareholder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76" w:lineRule="exact"/>
        <w:rPr>
          <w:rFonts w:ascii="Arial" w:cs="Arial" w:eastAsia="Arial" w:hAnsi="Arial"/>
          <w:sz w:val="17"/>
          <w:szCs w:val="17"/>
          <w:color w:val="auto"/>
        </w:rPr>
      </w:pPr>
    </w:p>
    <w:p>
      <w:pPr>
        <w:ind w:right="60" w:firstLine="436"/>
        <w:spacing w:after="0" w:line="301" w:lineRule="auto"/>
        <w:tabs>
          <w:tab w:leader="none" w:pos="655"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Certification Regarding Beneficial Owners</w:t>
      </w:r>
      <w:r>
        <w:rPr>
          <w:rFonts w:ascii="Arial" w:cs="Arial" w:eastAsia="Arial" w:hAnsi="Arial"/>
          <w:sz w:val="16"/>
          <w:szCs w:val="16"/>
          <w:color w:val="auto"/>
        </w:rPr>
        <w:t>. The Company and such Selling Shareholder that is an entity will deliver to the Representatives, on</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execution of this Agreement, a properly completed and executed Certification Regarding Beneficial Owners of Legal Entity Customers, together with copies of identifying documentation, and the Company and such Selling Shareholder undertake to provide such additional supporting documentation as the Representatives may reasonably request in connection with the verification of the foregoing certification.</w:t>
      </w:r>
    </w:p>
    <w:p>
      <w:pPr>
        <w:spacing w:after="0" w:line="49" w:lineRule="exact"/>
        <w:rPr>
          <w:rFonts w:ascii="Arial" w:cs="Arial" w:eastAsia="Arial" w:hAnsi="Arial"/>
          <w:sz w:val="16"/>
          <w:szCs w:val="16"/>
          <w:color w:val="auto"/>
        </w:rPr>
      </w:pPr>
    </w:p>
    <w:p>
      <w:pPr>
        <w:ind w:firstLine="436"/>
        <w:spacing w:after="0" w:line="275" w:lineRule="auto"/>
        <w:tabs>
          <w:tab w:leader="none" w:pos="745"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Testing-the-Waters Materials</w:t>
      </w:r>
      <w:r>
        <w:rPr>
          <w:rFonts w:ascii="Arial" w:cs="Arial" w:eastAsia="Arial" w:hAnsi="Arial"/>
          <w:sz w:val="17"/>
          <w:szCs w:val="17"/>
          <w:color w:val="auto"/>
        </w:rPr>
        <w:t>. If at any time following the distribution of any Written Testing-the-Waters Communication there occurred or</w:t>
      </w:r>
      <w:r>
        <w:rPr>
          <w:rFonts w:ascii="Arial" w:cs="Arial" w:eastAsia="Arial" w:hAnsi="Arial"/>
          <w:sz w:val="17"/>
          <w:szCs w:val="17"/>
          <w:i w:val="1"/>
          <w:iCs w:val="1"/>
          <w:color w:val="auto"/>
        </w:rPr>
        <w:t xml:space="preserve"> </w:t>
      </w:r>
      <w:r>
        <w:rPr>
          <w:rFonts w:ascii="Arial" w:cs="Arial" w:eastAsia="Arial" w:hAnsi="Arial"/>
          <w:sz w:val="17"/>
          <w:szCs w:val="17"/>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68" w:lineRule="exact"/>
        <w:rPr>
          <w:rFonts w:ascii="Arial" w:cs="Arial" w:eastAsia="Arial" w:hAnsi="Arial"/>
          <w:sz w:val="17"/>
          <w:szCs w:val="17"/>
          <w:color w:val="auto"/>
        </w:rPr>
      </w:pPr>
    </w:p>
    <w:p>
      <w:pPr>
        <w:jc w:val="both"/>
        <w:ind w:right="60" w:firstLine="436"/>
        <w:spacing w:after="0" w:line="263"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the Securities within the meaning of the Securities Act and (ii) completion of the 180-day restricted period referred to in Section 3(i).</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33" w:name="page234"/>
    <w:bookmarkEnd w:id="2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4" w:lineRule="auto"/>
        <w:tabs>
          <w:tab w:leader="none" w:pos="685"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their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or with the Company’s prior written consent (which may be by email) in connection with the road show presentations, travel and lodging expenses of the representatives and officers of the Company and any such consultants, provided that the travel and lodging expenses of the Representatives shall be paid for by the Underwriters, and 50% of the cost of any aircraft and other transportation chartered in connection with the road show (with the Underwriters paying for the other 50% of the cost of such chartered aircraft and other transportation chartered in connection with the roadshow), (viii) the filing fees incident to, and the reasonable fees and disbursements of counsel to the Underwriters in connection with, the review by FINRA of the terms of the sale of the Securities, which fees and expenses, taken together with the legal fees described in clause (v), shall not exceed $40,000, (ix) the fees and expenses incurred in connection with the listing of the Securities on Nasdaq,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Except as provided in this Section 4(a) or 4(b), the Underwriters will pay all of their own costs and expenses, including the fees and disbursements of their counsel, stock transfer taxes payable on the resale of any of the Securities by them and any advertising expenses in connection with any offers they may make.</w:t>
      </w:r>
    </w:p>
    <w:p>
      <w:pPr>
        <w:spacing w:after="0" w:line="68" w:lineRule="exact"/>
        <w:rPr>
          <w:rFonts w:ascii="Arial" w:cs="Arial" w:eastAsia="Arial" w:hAnsi="Arial"/>
          <w:sz w:val="16"/>
          <w:szCs w:val="16"/>
          <w:color w:val="auto"/>
        </w:rPr>
      </w:pPr>
    </w:p>
    <w:p>
      <w:pPr>
        <w:ind w:right="100" w:firstLine="436"/>
        <w:spacing w:after="0" w:line="257"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Expenses of the Selling Shareholders</w:t>
      </w:r>
      <w:r>
        <w:rPr>
          <w:rFonts w:ascii="Arial" w:cs="Arial" w:eastAsia="Arial" w:hAnsi="Arial"/>
          <w:sz w:val="18"/>
          <w:szCs w:val="18"/>
          <w:color w:val="auto"/>
        </w:rPr>
        <w:t>. The Selling Shareholders, severally and not jointly, will pay all expenses incident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obligations under, and the consummation of the transactions contemplated by, this Agreement with respect to: (i) any stamp and other duties and stock and other transfer taxes, if any, payable upon the sale of the Securities to the Underwriters and their transfer between the Underwriters pursuant to an agreement between the Underwriters, and (ii) the fees and disbursements of their respective counsel and other advisors, other than those being paid for by the Company.</w:t>
      </w:r>
    </w:p>
    <w:p>
      <w:pPr>
        <w:spacing w:after="0" w:line="79" w:lineRule="exact"/>
        <w:rPr>
          <w:rFonts w:ascii="Arial" w:cs="Arial" w:eastAsia="Arial" w:hAnsi="Arial"/>
          <w:sz w:val="18"/>
          <w:szCs w:val="18"/>
          <w:color w:val="auto"/>
        </w:rPr>
      </w:pPr>
    </w:p>
    <w:p>
      <w:pPr>
        <w:ind w:right="80" w:firstLine="436"/>
        <w:spacing w:after="0" w:line="279" w:lineRule="auto"/>
        <w:tabs>
          <w:tab w:leader="none" w:pos="685"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Termination of Agreement</w:t>
      </w:r>
      <w:r>
        <w:rPr>
          <w:rFonts w:ascii="Arial" w:cs="Arial" w:eastAsia="Arial" w:hAnsi="Arial"/>
          <w:sz w:val="17"/>
          <w:szCs w:val="17"/>
          <w:color w:val="auto"/>
        </w:rPr>
        <w:t>. If this Agreement is terminated by the Representatives in accordance with the provisions of Section 5, Section 9(a)</w:t>
      </w:r>
      <w:r>
        <w:rPr>
          <w:rFonts w:ascii="Arial" w:cs="Arial" w:eastAsia="Arial" w:hAnsi="Arial"/>
          <w:sz w:val="17"/>
          <w:szCs w:val="17"/>
          <w:i w:val="1"/>
          <w:iCs w:val="1"/>
          <w:color w:val="auto"/>
        </w:rPr>
        <w:t xml:space="preserve"> </w:t>
      </w:r>
      <w:r>
        <w:rPr>
          <w:rFonts w:ascii="Arial" w:cs="Arial" w:eastAsia="Arial" w:hAnsi="Arial"/>
          <w:sz w:val="17"/>
          <w:szCs w:val="17"/>
          <w:color w:val="auto"/>
        </w:rPr>
        <w:t>(i), 9(a)(iii) or Section 10 hereof, the Company shall reimburse the Underwriters for all of their reasonable out-of-pocket expenses actually incurred, including the reasonable fees and disbursements of counsel for the Underwriters; provided that in the case of a termination pursuant to Section 10, the Company shall have no obligation to reimburse a defaulting Underwriter for such costs and expenses.</w:t>
      </w:r>
    </w:p>
    <w:p>
      <w:pPr>
        <w:spacing w:after="0" w:line="63" w:lineRule="exact"/>
        <w:rPr>
          <w:rFonts w:ascii="Arial" w:cs="Arial" w:eastAsia="Arial" w:hAnsi="Arial"/>
          <w:sz w:val="17"/>
          <w:szCs w:val="17"/>
          <w:color w:val="auto"/>
        </w:rPr>
      </w:pPr>
    </w:p>
    <w:p>
      <w:pPr>
        <w:ind w:right="420" w:firstLine="436"/>
        <w:spacing w:after="0" w:line="277"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Allocation of Expenses</w:t>
      </w:r>
      <w:r>
        <w:rPr>
          <w:rFonts w:ascii="Arial" w:cs="Arial" w:eastAsia="Arial" w:hAnsi="Arial"/>
          <w:sz w:val="18"/>
          <w:szCs w:val="18"/>
          <w:color w:val="auto"/>
        </w:rPr>
        <w:t>. The provisions of this Section shall not affect any agreement that the Company and the Selling Shareholders may</w:t>
      </w:r>
      <w:r>
        <w:rPr>
          <w:rFonts w:ascii="Arial" w:cs="Arial" w:eastAsia="Arial" w:hAnsi="Arial"/>
          <w:sz w:val="18"/>
          <w:szCs w:val="18"/>
          <w:i w:val="1"/>
          <w:iCs w:val="1"/>
          <w:color w:val="auto"/>
        </w:rPr>
        <w:t xml:space="preserve"> </w:t>
      </w:r>
      <w:r>
        <w:rPr>
          <w:rFonts w:ascii="Arial" w:cs="Arial" w:eastAsia="Arial" w:hAnsi="Arial"/>
          <w:sz w:val="18"/>
          <w:szCs w:val="18"/>
          <w:color w:val="auto"/>
        </w:rPr>
        <w:t>make for the sharing of such costs and expenses.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34" w:name="page235"/>
    <w:bookmarkEnd w:id="234"/>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The obligations of the several Underwriters hereunder are subject to the accuracy of the representations and warranties of the Company and the Selling Shareholders contained herein or in certificates of any officer of the Company or any of its subsidiaries or on behalf of any Selling Shareholder delivered pursuant to the provisions hereof, to the performance by the Company and each Selling Shareholder of their respective covenants and other obligations hereunder, and to the following further conditions:</w:t>
      </w:r>
    </w:p>
    <w:p>
      <w:pPr>
        <w:spacing w:after="0" w:line="63" w:lineRule="exact"/>
        <w:rPr>
          <w:sz w:val="20"/>
          <w:szCs w:val="20"/>
          <w:color w:val="auto"/>
        </w:rPr>
      </w:pPr>
    </w:p>
    <w:p>
      <w:pPr>
        <w:ind w:right="20" w:firstLine="436"/>
        <w:spacing w:after="0" w:line="254" w:lineRule="auto"/>
        <w:tabs>
          <w:tab w:leader="none" w:pos="685"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 Rule 430A Information</w:t>
      </w:r>
      <w:r>
        <w:rPr>
          <w:rFonts w:ascii="Arial" w:cs="Arial" w:eastAsia="Arial" w:hAnsi="Arial"/>
          <w:sz w:val="18"/>
          <w:szCs w:val="18"/>
          <w:color w:val="auto"/>
        </w:rPr>
        <w:t>. The Registration Statement, including any Rule 462(b)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A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83" w:lineRule="exact"/>
        <w:rPr>
          <w:rFonts w:ascii="Arial" w:cs="Arial" w:eastAsia="Arial" w:hAnsi="Arial"/>
          <w:sz w:val="18"/>
          <w:szCs w:val="18"/>
          <w:color w:val="auto"/>
        </w:rPr>
      </w:pPr>
    </w:p>
    <w:p>
      <w:pPr>
        <w:jc w:val="both"/>
        <w:ind w:right="340" w:firstLine="436"/>
        <w:spacing w:after="0" w:line="263"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At the Closing Time, the Representatives shall have received the favorable opinion (including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assurance statements), dated the Closing Time, of Sidley Austin </w:t>
      </w:r>
      <w:r>
        <w:rPr>
          <w:rFonts w:ascii="Arial" w:cs="Arial" w:eastAsia="Arial" w:hAnsi="Arial"/>
          <w:sz w:val="14"/>
          <w:szCs w:val="14"/>
          <w:color w:val="auto"/>
        </w:rPr>
        <w:t>LLP</w:t>
      </w:r>
      <w:r>
        <w:rPr>
          <w:rFonts w:ascii="Arial" w:cs="Arial" w:eastAsia="Arial" w:hAnsi="Arial"/>
          <w:sz w:val="18"/>
          <w:szCs w:val="18"/>
          <w:color w:val="auto"/>
        </w:rPr>
        <w:t>, counsel for the Company, in form and substance satisfactory to counsel for the Underwriters.</w:t>
      </w:r>
    </w:p>
    <w:p>
      <w:pPr>
        <w:spacing w:after="0" w:line="75" w:lineRule="exact"/>
        <w:rPr>
          <w:rFonts w:ascii="Arial" w:cs="Arial" w:eastAsia="Arial" w:hAnsi="Arial"/>
          <w:sz w:val="18"/>
          <w:szCs w:val="18"/>
          <w:color w:val="auto"/>
        </w:rPr>
      </w:pPr>
    </w:p>
    <w:p>
      <w:pPr>
        <w:ind w:right="100" w:firstLine="436"/>
        <w:spacing w:after="0" w:line="263" w:lineRule="auto"/>
        <w:tabs>
          <w:tab w:leader="none" w:pos="685"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Opinions of Counsel for the Selling Shareholders</w:t>
      </w:r>
      <w:r>
        <w:rPr>
          <w:rFonts w:ascii="Arial" w:cs="Arial" w:eastAsia="Arial" w:hAnsi="Arial"/>
          <w:sz w:val="18"/>
          <w:szCs w:val="18"/>
          <w:color w:val="auto"/>
        </w:rPr>
        <w:t>. At the Closing Time, the Representatives shall have received the favorable opinion, dated</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Time, of each of Willkie Farr &amp; Gallagher LLP, counsel for the Insight Selling Shareholders, and Whalen LLP, counsel for the Non-Insight Selling Shareholders.</w:t>
      </w:r>
    </w:p>
    <w:p>
      <w:pPr>
        <w:spacing w:after="0" w:line="75" w:lineRule="exact"/>
        <w:rPr>
          <w:rFonts w:ascii="Arial" w:cs="Arial" w:eastAsia="Arial" w:hAnsi="Arial"/>
          <w:sz w:val="18"/>
          <w:szCs w:val="18"/>
          <w:color w:val="auto"/>
        </w:rPr>
      </w:pPr>
    </w:p>
    <w:p>
      <w:pPr>
        <w:ind w:right="540" w:firstLine="436"/>
        <w:spacing w:after="0" w:line="342" w:lineRule="auto"/>
        <w:tabs>
          <w:tab w:leader="none" w:pos="695"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Opinion of Bermuda Counsel for the Non-Insight Selling Shareholders</w:t>
      </w:r>
      <w:r>
        <w:rPr>
          <w:rFonts w:ascii="Arial" w:cs="Arial" w:eastAsia="Arial" w:hAnsi="Arial"/>
          <w:sz w:val="16"/>
          <w:szCs w:val="16"/>
          <w:color w:val="auto"/>
        </w:rPr>
        <w:t>. At the Closing Time, the Representative shall have received the</w:t>
      </w:r>
      <w:r>
        <w:rPr>
          <w:rFonts w:ascii="Arial" w:cs="Arial" w:eastAsia="Arial" w:hAnsi="Arial"/>
          <w:sz w:val="16"/>
          <w:szCs w:val="16"/>
          <w:i w:val="1"/>
          <w:iCs w:val="1"/>
          <w:color w:val="auto"/>
        </w:rPr>
        <w:t xml:space="preserve"> </w:t>
      </w:r>
      <w:r>
        <w:rPr>
          <w:rFonts w:ascii="Arial" w:cs="Arial" w:eastAsia="Arial" w:hAnsi="Arial"/>
          <w:sz w:val="16"/>
          <w:szCs w:val="16"/>
          <w:color w:val="auto"/>
        </w:rPr>
        <w:t>favorable opinion, dated the Closing Time, of Conyers Dill &amp; Pearman Limited, Bermuda counsel for the Non-Insight Selling Shareholders.</w:t>
      </w:r>
    </w:p>
    <w:p>
      <w:pPr>
        <w:spacing w:after="0" w:line="15" w:lineRule="exact"/>
        <w:rPr>
          <w:rFonts w:ascii="Arial" w:cs="Arial" w:eastAsia="Arial" w:hAnsi="Arial"/>
          <w:sz w:val="16"/>
          <w:szCs w:val="16"/>
          <w:color w:val="auto"/>
        </w:rPr>
      </w:pPr>
    </w:p>
    <w:p>
      <w:pPr>
        <w:ind w:right="600" w:firstLine="436"/>
        <w:spacing w:after="0" w:line="277" w:lineRule="auto"/>
        <w:tabs>
          <w:tab w:leader="none" w:pos="685"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Opinion of Cayman Counsel for the Non-Insight Selling Shareholders</w:t>
      </w:r>
      <w:r>
        <w:rPr>
          <w:rFonts w:ascii="Arial" w:cs="Arial" w:eastAsia="Arial" w:hAnsi="Arial"/>
          <w:sz w:val="18"/>
          <w:szCs w:val="18"/>
          <w:color w:val="auto"/>
        </w:rPr>
        <w:t>. At the Closing Time, the Representative shall have received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opinion, dated the Closing Time, of Ogier, Cayman counsel for the Non-Insight Selling Shareholders.</w:t>
      </w:r>
    </w:p>
    <w:p>
      <w:pPr>
        <w:spacing w:after="0" w:line="62" w:lineRule="exact"/>
        <w:rPr>
          <w:rFonts w:ascii="Arial" w:cs="Arial" w:eastAsia="Arial" w:hAnsi="Arial"/>
          <w:sz w:val="18"/>
          <w:szCs w:val="18"/>
          <w:color w:val="auto"/>
        </w:rPr>
      </w:pPr>
    </w:p>
    <w:p>
      <w:pPr>
        <w:ind w:right="260" w:firstLine="436"/>
        <w:spacing w:after="0" w:line="277" w:lineRule="auto"/>
        <w:tabs>
          <w:tab w:leader="none" w:pos="665"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Opinion of Cayman Counsel for the Insight Selling Shareholders</w:t>
      </w:r>
      <w:r>
        <w:rPr>
          <w:rFonts w:ascii="Arial" w:cs="Arial" w:eastAsia="Arial" w:hAnsi="Arial"/>
          <w:sz w:val="18"/>
          <w:szCs w:val="18"/>
          <w:color w:val="auto"/>
        </w:rPr>
        <w:t>. At the Closing Time, the Representative shall have received the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dated the Closing Time, of Maples and Calder, Cayman counsel for the Insight Selling Shareholders</w:t>
      </w:r>
    </w:p>
    <w:p>
      <w:pPr>
        <w:spacing w:after="0" w:line="62" w:lineRule="exact"/>
        <w:rPr>
          <w:rFonts w:ascii="Arial" w:cs="Arial" w:eastAsia="Arial" w:hAnsi="Arial"/>
          <w:sz w:val="18"/>
          <w:szCs w:val="18"/>
          <w:color w:val="auto"/>
        </w:rPr>
      </w:pPr>
    </w:p>
    <w:p>
      <w:pPr>
        <w:ind w:right="600" w:firstLine="436"/>
        <w:spacing w:after="0" w:line="277"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Representatives shall have received the favorable opinion and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letter, dated the Closing Time, of Ropes &amp; Gray LLP, counsel for the Underwriters.</w:t>
      </w:r>
    </w:p>
    <w:p>
      <w:pPr>
        <w:spacing w:after="0" w:line="62" w:lineRule="exact"/>
        <w:rPr>
          <w:rFonts w:ascii="Arial" w:cs="Arial" w:eastAsia="Arial" w:hAnsi="Arial"/>
          <w:sz w:val="18"/>
          <w:szCs w:val="18"/>
          <w:color w:val="auto"/>
        </w:rPr>
      </w:pPr>
    </w:p>
    <w:p>
      <w:pPr>
        <w:ind w:firstLine="436"/>
        <w:spacing w:after="0" w:line="288" w:lineRule="auto"/>
        <w:tabs>
          <w:tab w:leader="none" w:pos="695"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hereof or since the respective dates as of which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Chief Executive Officer or the President of the Company and of the Chief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35" w:name="page236"/>
    <w:bookmarkEnd w:id="235"/>
    <w:p>
      <w:pPr>
        <w:ind w:right="800" w:firstLine="436"/>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CFO Certificate</w:t>
      </w:r>
      <w:r>
        <w:rPr>
          <w:rFonts w:ascii="Arial" w:cs="Arial" w:eastAsia="Arial" w:hAnsi="Arial"/>
          <w:sz w:val="18"/>
          <w:szCs w:val="18"/>
          <w:color w:val="auto"/>
        </w:rPr>
        <w:t>. At the time of execution of this Agreement and at the Closing Time, a certificate, in form and substance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to counsel for the Underwriters, signed by the chief financial officer of the Company.</w:t>
      </w:r>
    </w:p>
    <w:p>
      <w:pPr>
        <w:spacing w:after="0" w:line="62" w:lineRule="exact"/>
        <w:rPr>
          <w:rFonts w:ascii="Arial" w:cs="Arial" w:eastAsia="Arial" w:hAnsi="Arial"/>
          <w:sz w:val="18"/>
          <w:szCs w:val="18"/>
          <w:color w:val="auto"/>
        </w:rPr>
      </w:pPr>
    </w:p>
    <w:p>
      <w:pPr>
        <w:ind w:right="40" w:firstLine="436"/>
        <w:spacing w:after="0" w:line="255"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Certificates of Selling Shareholders</w:t>
      </w:r>
      <w:r>
        <w:rPr>
          <w:rFonts w:ascii="Arial" w:cs="Arial" w:eastAsia="Arial" w:hAnsi="Arial"/>
          <w:sz w:val="18"/>
          <w:szCs w:val="18"/>
          <w:color w:val="auto"/>
        </w:rPr>
        <w:t>. At the Closing Time, the Representatives shall have received a certificate of each of (x) the Insight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and (y) an Attorney-in-Fact on behalf of each Non-Insight Selling Shareholder, each dated the Closing Time, to the effect that (i) the representations and warranties of each Insight Selling Shareholder or Non-Insight Selling Shareholder, as applicable, in this Agreement are true and correct with the same force and effect as though expressly made at and as of the Closing Time and (ii) each Insight Selling Shareholder or Non-Insight Selling Shareholder, as applicable, has complied with all agreements and all conditions on its part to be performed under this Agreement at or prior to the Closing Time.</w:t>
      </w:r>
    </w:p>
    <w:p>
      <w:pPr>
        <w:spacing w:after="0" w:line="84" w:lineRule="exact"/>
        <w:rPr>
          <w:rFonts w:ascii="Arial" w:cs="Arial" w:eastAsia="Arial" w:hAnsi="Arial"/>
          <w:sz w:val="18"/>
          <w:szCs w:val="18"/>
          <w:color w:val="auto"/>
        </w:rPr>
      </w:pPr>
    </w:p>
    <w:p>
      <w:pPr>
        <w:ind w:firstLine="436"/>
        <w:spacing w:after="0" w:line="301" w:lineRule="auto"/>
        <w:tabs>
          <w:tab w:leader="none" w:pos="695"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Accountant’s Comfort Letter</w:t>
      </w:r>
      <w:r>
        <w:rPr>
          <w:rFonts w:ascii="Arial" w:cs="Arial" w:eastAsia="Arial" w:hAnsi="Arial"/>
          <w:sz w:val="16"/>
          <w:szCs w:val="16"/>
          <w:color w:val="auto"/>
        </w:rPr>
        <w:t>. At the time of the execution of this Agreement, the Representatives shall have received from Ernst &amp; Young a</w:t>
      </w:r>
      <w:r>
        <w:rPr>
          <w:rFonts w:ascii="Arial" w:cs="Arial" w:eastAsia="Arial" w:hAnsi="Arial"/>
          <w:sz w:val="16"/>
          <w:szCs w:val="16"/>
          <w:i w:val="1"/>
          <w:iCs w:val="1"/>
          <w:color w:val="auto"/>
        </w:rPr>
        <w:t xml:space="preserve"> </w:t>
      </w:r>
      <w:r>
        <w:rPr>
          <w:rFonts w:ascii="Arial" w:cs="Arial" w:eastAsia="Arial" w:hAnsi="Arial"/>
          <w:sz w:val="16"/>
          <w:szCs w:val="16"/>
          <w:color w:val="auto"/>
        </w:rPr>
        <w:t>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49" w:lineRule="exact"/>
        <w:rPr>
          <w:rFonts w:ascii="Arial" w:cs="Arial" w:eastAsia="Arial" w:hAnsi="Arial"/>
          <w:sz w:val="16"/>
          <w:szCs w:val="16"/>
          <w:color w:val="auto"/>
        </w:rPr>
      </w:pPr>
    </w:p>
    <w:p>
      <w:pPr>
        <w:jc w:val="both"/>
        <w:ind w:right="100" w:firstLine="436"/>
        <w:spacing w:after="0" w:line="263"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Representatives shall have received from Ernst &amp; Young a letter, dated as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75" w:lineRule="exact"/>
        <w:rPr>
          <w:rFonts w:ascii="Arial" w:cs="Arial" w:eastAsia="Arial" w:hAnsi="Arial"/>
          <w:sz w:val="18"/>
          <w:szCs w:val="18"/>
          <w:color w:val="auto"/>
        </w:rPr>
      </w:pPr>
    </w:p>
    <w:p>
      <w:pPr>
        <w:ind w:left="740" w:hanging="304"/>
        <w:spacing w:after="0"/>
        <w:tabs>
          <w:tab w:leader="none" w:pos="740"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Approval of Listing</w:t>
      </w:r>
      <w:r>
        <w:rPr>
          <w:rFonts w:ascii="Arial" w:cs="Arial" w:eastAsia="Arial" w:hAnsi="Arial"/>
          <w:sz w:val="17"/>
          <w:szCs w:val="17"/>
          <w:color w:val="auto"/>
        </w:rPr>
        <w:t>. At the Closing Time, the Securities shall have been approved for listing on Nasdaq, subject only to official notice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issuance.</w:t>
      </w:r>
    </w:p>
    <w:p>
      <w:pPr>
        <w:spacing w:after="0" w:line="102" w:lineRule="exact"/>
        <w:rPr>
          <w:rFonts w:ascii="Arial" w:cs="Arial" w:eastAsia="Arial" w:hAnsi="Arial"/>
          <w:sz w:val="17"/>
          <w:szCs w:val="17"/>
          <w:color w:val="auto"/>
        </w:rPr>
      </w:pPr>
    </w:p>
    <w:p>
      <w:pPr>
        <w:ind w:right="300" w:firstLine="436"/>
        <w:spacing w:after="0" w:line="277"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arrangements relating to the offering of the Securities.</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Lock-up Agreements</w:t>
      </w:r>
      <w:r>
        <w:rPr>
          <w:rFonts w:ascii="Arial" w:cs="Arial" w:eastAsia="Arial" w:hAnsi="Arial"/>
          <w:sz w:val="17"/>
          <w:szCs w:val="17"/>
          <w:color w:val="auto"/>
        </w:rPr>
        <w:t>. At the date of this Agreement, the Representatives shall have received an agreement substantially in the form of</w:t>
      </w:r>
    </w:p>
    <w:p>
      <w:pPr>
        <w:spacing w:after="0" w:line="3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Exhibit A hereto signed by (i) each of the Company’s directors and officers, and (ii) holders of substantially all of the shares of Common Stock or any security convertible or exercisable for shares of Common Stock.</w:t>
      </w:r>
    </w:p>
    <w:p>
      <w:pPr>
        <w:spacing w:after="0" w:line="77" w:lineRule="exact"/>
        <w:rPr>
          <w:sz w:val="20"/>
          <w:szCs w:val="20"/>
          <w:color w:val="auto"/>
        </w:rPr>
      </w:pPr>
    </w:p>
    <w:p>
      <w:pPr>
        <w:ind w:right="740" w:firstLine="436"/>
        <w:spacing w:after="0" w:line="277" w:lineRule="auto"/>
        <w:tabs>
          <w:tab w:leader="none" w:pos="69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No Rated Securities</w:t>
      </w:r>
      <w:r>
        <w:rPr>
          <w:rFonts w:ascii="Arial" w:cs="Arial" w:eastAsia="Arial" w:hAnsi="Arial"/>
          <w:sz w:val="18"/>
          <w:szCs w:val="18"/>
          <w:color w:val="auto"/>
        </w:rPr>
        <w:t>. Neither the Company nor any of its subsidiaries have any debt securities or preferred stock that are rated by any</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“nationally recognized statistical rating agency” (as defined in Section 3(a)(62) of the 1934 Act).</w:t>
      </w:r>
    </w:p>
    <w:p>
      <w:pPr>
        <w:spacing w:after="0" w:line="62" w:lineRule="exact"/>
        <w:rPr>
          <w:rFonts w:ascii="Arial" w:cs="Arial" w:eastAsia="Arial" w:hAnsi="Arial"/>
          <w:sz w:val="18"/>
          <w:szCs w:val="18"/>
          <w:color w:val="auto"/>
        </w:rPr>
      </w:pPr>
    </w:p>
    <w:p>
      <w:pPr>
        <w:ind w:right="220" w:firstLine="436"/>
        <w:spacing w:after="0" w:line="259" w:lineRule="auto"/>
        <w:tabs>
          <w:tab w:leader="none" w:pos="69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 In the event that the Underwriters exercise their option provided in Section 2(b)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Option Securities, the representations and warranties of the Company and the Selling Shareholders contained herein and the statements in any certificates furnished by the Company and any of its subsidiaries hereunder shall be true and correct as of each Date of Delivery and, at the relevant Date of Delivery, the Representatives shall have received:</w:t>
      </w:r>
    </w:p>
    <w:p>
      <w:pPr>
        <w:spacing w:after="0" w:line="78" w:lineRule="exact"/>
        <w:rPr>
          <w:rFonts w:ascii="Arial" w:cs="Arial" w:eastAsia="Arial" w:hAnsi="Arial"/>
          <w:sz w:val="18"/>
          <w:szCs w:val="18"/>
          <w:color w:val="auto"/>
        </w:rPr>
      </w:pPr>
    </w:p>
    <w:p>
      <w:pPr>
        <w:ind w:left="440" w:right="240" w:firstLine="419"/>
        <w:spacing w:after="0" w:line="263" w:lineRule="auto"/>
        <w:tabs>
          <w:tab w:leader="none" w:pos="1078"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President or a Vice President of the Company and of the Chief Financial Officer of the Company confirming that the certificate delivered at the Closing Time pursuant to Section 5(e) hereof remains true and correct as of such Date of Delivery.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36" w:name="page237"/>
    <w:bookmarkEnd w:id="236"/>
    <w:p>
      <w:pPr>
        <w:ind w:right="60" w:firstLine="419"/>
        <w:spacing w:after="0" w:line="263" w:lineRule="auto"/>
        <w:tabs>
          <w:tab w:leader="none" w:pos="68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Certificates of Selling Shareholders</w:t>
      </w:r>
      <w:r>
        <w:rPr>
          <w:rFonts w:ascii="Arial" w:cs="Arial" w:eastAsia="Arial" w:hAnsi="Arial"/>
          <w:sz w:val="18"/>
          <w:szCs w:val="18"/>
          <w:color w:val="auto"/>
        </w:rPr>
        <w:t>. A certificate, dated such Date of Delivery, of each of (a) the Insight Selling Shareholders and (b) an Attorney-in-Fact on behalf of each Non-Insight Selling Shareholder, each confirming that the respective certificate delivered at the Closing Time pursuant to Section 5(g) remains true and correct as of such Date of Delivery.</w:t>
      </w:r>
    </w:p>
    <w:p>
      <w:pPr>
        <w:spacing w:after="0" w:line="75" w:lineRule="exact"/>
        <w:rPr>
          <w:rFonts w:ascii="Arial" w:cs="Arial" w:eastAsia="Arial" w:hAnsi="Arial"/>
          <w:sz w:val="18"/>
          <w:szCs w:val="18"/>
          <w:color w:val="auto"/>
        </w:rPr>
      </w:pPr>
    </w:p>
    <w:p>
      <w:pPr>
        <w:ind w:right="120" w:firstLine="419"/>
        <w:spacing w:after="0" w:line="311" w:lineRule="auto"/>
        <w:tabs>
          <w:tab w:leader="none" w:pos="738"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Opinion of Counsel for Company</w:t>
      </w:r>
      <w:r>
        <w:rPr>
          <w:rFonts w:ascii="Arial" w:cs="Arial" w:eastAsia="Arial" w:hAnsi="Arial"/>
          <w:sz w:val="16"/>
          <w:szCs w:val="16"/>
          <w:color w:val="auto"/>
        </w:rPr>
        <w:t xml:space="preserve">. If requested by the Representatives, the favorable opinion and negative assurance letter of Sidley Austin </w:t>
      </w:r>
      <w:r>
        <w:rPr>
          <w:rFonts w:ascii="Arial" w:cs="Arial" w:eastAsia="Arial" w:hAnsi="Arial"/>
          <w:sz w:val="12"/>
          <w:szCs w:val="12"/>
          <w:color w:val="auto"/>
        </w:rPr>
        <w:t>LLP</w:t>
      </w:r>
      <w:r>
        <w:rPr>
          <w:rFonts w:ascii="Arial" w:cs="Arial" w:eastAsia="Arial" w:hAnsi="Arial"/>
          <w:sz w:val="16"/>
          <w:szCs w:val="16"/>
          <w:color w:val="auto"/>
        </w:rPr>
        <w:t>, counsel for the Company,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40" w:lineRule="exact"/>
        <w:rPr>
          <w:rFonts w:ascii="Arial" w:cs="Arial" w:eastAsia="Arial" w:hAnsi="Arial"/>
          <w:sz w:val="16"/>
          <w:szCs w:val="16"/>
          <w:color w:val="auto"/>
        </w:rPr>
      </w:pPr>
    </w:p>
    <w:p>
      <w:pPr>
        <w:ind w:right="120" w:firstLine="419"/>
        <w:spacing w:after="0" w:line="279" w:lineRule="auto"/>
        <w:tabs>
          <w:tab w:leader="none" w:pos="72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Opinions of Counsel for the Selling Shareholders</w:t>
      </w:r>
      <w:r>
        <w:rPr>
          <w:rFonts w:ascii="Arial" w:cs="Arial" w:eastAsia="Arial" w:hAnsi="Arial"/>
          <w:sz w:val="17"/>
          <w:szCs w:val="17"/>
          <w:color w:val="auto"/>
        </w:rPr>
        <w:t>. If requested by the Representative(s), the favorable opinion of Willkie Farr &amp; Gallagher LLP, counsel for the Insight Selling Shareholders, and Whalen LLP, counsel for the Non-Insight Selling Shareholders, in each case in form and substance satisfactory to counsel for the Underwriters, dated such Date of Delivery, relating to the Option Securities to be purchased on such Date of Delivery and otherwise to the same effect as the respective opinion required by Section 5(c) hereof.</w:t>
      </w:r>
    </w:p>
    <w:p>
      <w:pPr>
        <w:spacing w:after="0" w:line="63" w:lineRule="exact"/>
        <w:rPr>
          <w:rFonts w:ascii="Arial" w:cs="Arial" w:eastAsia="Arial" w:hAnsi="Arial"/>
          <w:sz w:val="17"/>
          <w:szCs w:val="17"/>
          <w:color w:val="auto"/>
        </w:rPr>
      </w:pPr>
    </w:p>
    <w:p>
      <w:pPr>
        <w:ind w:firstLine="419"/>
        <w:spacing w:after="0" w:line="259" w:lineRule="auto"/>
        <w:tabs>
          <w:tab w:leader="none" w:pos="67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Opinion of Bermuda Counsel for the Non-Insight Selling Shareholders</w:t>
      </w:r>
      <w:r>
        <w:rPr>
          <w:rFonts w:ascii="Arial" w:cs="Arial" w:eastAsia="Arial" w:hAnsi="Arial"/>
          <w:sz w:val="18"/>
          <w:szCs w:val="18"/>
          <w:color w:val="auto"/>
        </w:rPr>
        <w:t>. If requested by the Representative(s), the favorable opinion of Conyers Dill &amp; Pearman Limited, Bermuda counsel for the Non-Insight Selling Shareholders, in form and substance satisfactory to counsel for the Underwriters, dated such Date of Delivery, relating to the Option Securities to be purchased on such Date of Delivery and otherwise to the same effect as the respective opinion required by Section 5(d) hereof.</w:t>
      </w:r>
    </w:p>
    <w:p>
      <w:pPr>
        <w:spacing w:after="0" w:line="78" w:lineRule="exact"/>
        <w:rPr>
          <w:rFonts w:ascii="Arial" w:cs="Arial" w:eastAsia="Arial" w:hAnsi="Arial"/>
          <w:sz w:val="18"/>
          <w:szCs w:val="18"/>
          <w:color w:val="auto"/>
        </w:rPr>
      </w:pPr>
    </w:p>
    <w:p>
      <w:pPr>
        <w:ind w:right="140" w:firstLine="419"/>
        <w:spacing w:after="0" w:line="259" w:lineRule="auto"/>
        <w:tabs>
          <w:tab w:leader="none" w:pos="72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Opinion of Cayman Counsel for the Non-Insight Selling Shareholders</w:t>
      </w:r>
      <w:r>
        <w:rPr>
          <w:rFonts w:ascii="Arial" w:cs="Arial" w:eastAsia="Arial" w:hAnsi="Arial"/>
          <w:sz w:val="18"/>
          <w:szCs w:val="18"/>
          <w:color w:val="auto"/>
        </w:rPr>
        <w:t>. If requested by the Representative(s), the favorable opinion of Ogiers, Cayman counsel for the Non-Insight Selling Shareholders, in form and substance satisfactory to counsel for the Underwriters, dated such Date of Delivery, relating to the Option Securities to be purchased on such Date of Delivery and otherwise to the same effect as the respective opinion required by Section 5(e) hereof.</w:t>
      </w:r>
    </w:p>
    <w:p>
      <w:pPr>
        <w:spacing w:after="0" w:line="78" w:lineRule="exact"/>
        <w:rPr>
          <w:rFonts w:ascii="Arial" w:cs="Arial" w:eastAsia="Arial" w:hAnsi="Arial"/>
          <w:sz w:val="18"/>
          <w:szCs w:val="18"/>
          <w:color w:val="auto"/>
        </w:rPr>
      </w:pPr>
    </w:p>
    <w:p>
      <w:pPr>
        <w:ind w:firstLine="419"/>
        <w:spacing w:after="0" w:line="259" w:lineRule="auto"/>
        <w:tabs>
          <w:tab w:leader="none" w:pos="77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Opinion of Cayman Counsel for the Insight Selling Shareholders</w:t>
      </w:r>
      <w:r>
        <w:rPr>
          <w:rFonts w:ascii="Arial" w:cs="Arial" w:eastAsia="Arial" w:hAnsi="Arial"/>
          <w:sz w:val="18"/>
          <w:szCs w:val="18"/>
          <w:color w:val="auto"/>
        </w:rPr>
        <w:t>. If requested by the Representative(s), the favorable opinion of Maples and Calder, Cayman counsel for the Insight Selling Shareholders, in form and substance satisfactory to counsel for the Underwriters, dated such Date of Delivery, relating to the Option Securities to be purchased on such Date of Delivery and otherwise to the same effect as the respective opinion required by Section 5(f) hereof.</w:t>
      </w:r>
    </w:p>
    <w:p>
      <w:pPr>
        <w:spacing w:after="0" w:line="78" w:lineRule="exact"/>
        <w:rPr>
          <w:rFonts w:ascii="Arial" w:cs="Arial" w:eastAsia="Arial" w:hAnsi="Arial"/>
          <w:sz w:val="18"/>
          <w:szCs w:val="18"/>
          <w:color w:val="auto"/>
        </w:rPr>
      </w:pPr>
    </w:p>
    <w:p>
      <w:pPr>
        <w:ind w:right="180" w:firstLine="419"/>
        <w:spacing w:after="0" w:line="263" w:lineRule="auto"/>
        <w:tabs>
          <w:tab w:leader="none" w:pos="82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Opinion of Counsel for Underwriters</w:t>
      </w:r>
      <w:r>
        <w:rPr>
          <w:rFonts w:ascii="Arial" w:cs="Arial" w:eastAsia="Arial" w:hAnsi="Arial"/>
          <w:sz w:val="18"/>
          <w:szCs w:val="18"/>
          <w:color w:val="auto"/>
        </w:rPr>
        <w:t>. If requested by the Representatives, the favorable opinion and negative assurance letter of Ropes &amp; Gray LLP, counsel for the Underwriters, dated such Date of Delivery, relating to the Option Securities to be purchased on such Date of Delivery and otherwise to the same effect as the opinion required by Section 5(g) hereof.</w:t>
      </w:r>
    </w:p>
    <w:p>
      <w:pPr>
        <w:spacing w:after="0" w:line="75" w:lineRule="exact"/>
        <w:rPr>
          <w:rFonts w:ascii="Arial" w:cs="Arial" w:eastAsia="Arial" w:hAnsi="Arial"/>
          <w:sz w:val="18"/>
          <w:szCs w:val="18"/>
          <w:color w:val="auto"/>
        </w:rPr>
      </w:pPr>
    </w:p>
    <w:p>
      <w:pPr>
        <w:ind w:firstLine="419"/>
        <w:spacing w:after="0" w:line="259" w:lineRule="auto"/>
        <w:tabs>
          <w:tab w:leader="none" w:pos="72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If requested by the Representatives, a letter from Ernst &amp; Young, in form and substance satisfactory to the Representatives and dated such Date of Delivery, substantially in the same form and substance as the letter furnished to the Representatives pursuant to Section 5(l) hereof, except that the “specified date” in the letter furnished pursuant to this paragraph shall be a date not more than three business days prior to such Date of Delivery.</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0"/>
          </w:cols>
          <w:pgMar w:left="880" w:top="274" w:right="459" w:bottom="1440" w:gutter="0" w:footer="0" w:header="0"/>
        </w:sectPr>
      </w:pPr>
    </w:p>
    <w:bookmarkStart w:id="237" w:name="page238"/>
    <w:bookmarkEnd w:id="237"/>
    <w:p>
      <w:pPr>
        <w:ind w:left="400" w:right="120" w:firstLine="419"/>
        <w:spacing w:after="0" w:line="277" w:lineRule="auto"/>
        <w:tabs>
          <w:tab w:leader="none" w:pos="1078"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CFO Certificate</w:t>
      </w:r>
      <w:r>
        <w:rPr>
          <w:rFonts w:ascii="Arial" w:cs="Arial" w:eastAsia="Arial" w:hAnsi="Arial"/>
          <w:sz w:val="18"/>
          <w:szCs w:val="18"/>
          <w:color w:val="auto"/>
        </w:rPr>
        <w:t>. A certificate, dated such Date of Delivery, of the chief financial officer of the Company confirming that the certificate at the Closing Time pursuant to Section 5(i) hereof remains true and correct as of such Date of Delivery.</w:t>
      </w:r>
    </w:p>
    <w:p>
      <w:pPr>
        <w:spacing w:after="0" w:line="62" w:lineRule="exact"/>
        <w:rPr>
          <w:rFonts w:ascii="Arial" w:cs="Arial" w:eastAsia="Arial" w:hAnsi="Arial"/>
          <w:sz w:val="18"/>
          <w:szCs w:val="18"/>
          <w:color w:val="auto"/>
        </w:rPr>
      </w:pPr>
    </w:p>
    <w:p>
      <w:pPr>
        <w:ind w:left="-40" w:right="80" w:firstLine="436"/>
        <w:spacing w:after="0" w:line="296" w:lineRule="auto"/>
        <w:tabs>
          <w:tab w:leader="none" w:pos="625"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Additional Documents</w:t>
      </w:r>
      <w:r>
        <w:rPr>
          <w:rFonts w:ascii="Arial" w:cs="Arial" w:eastAsia="Arial" w:hAnsi="Arial"/>
          <w:sz w:val="16"/>
          <w:szCs w:val="16"/>
          <w:color w:val="auto"/>
        </w:rPr>
        <w:t>. At the Closing Time and at each Date of Delivery (if any) counsel for the Underwriters shall have been furnished with</w:t>
      </w:r>
      <w:r>
        <w:rPr>
          <w:rFonts w:ascii="Arial" w:cs="Arial" w:eastAsia="Arial" w:hAnsi="Arial"/>
          <w:sz w:val="16"/>
          <w:szCs w:val="16"/>
          <w:i w:val="1"/>
          <w:iCs w:val="1"/>
          <w:color w:val="auto"/>
        </w:rPr>
        <w:t xml:space="preserve"> </w:t>
      </w:r>
      <w:r>
        <w:rPr>
          <w:rFonts w:ascii="Arial" w:cs="Arial" w:eastAsia="Arial" w:hAnsi="Arial"/>
          <w:sz w:val="16"/>
          <w:szCs w:val="16"/>
          <w:color w:val="auto"/>
        </w:rPr>
        <w:t>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and the Selling Shareholders in connection with the issuance and sale of the Securities as herein contemplated shall be reasonably satisfactory in form and substance to the Representatives and counsel for the Underwriters.</w:t>
      </w:r>
    </w:p>
    <w:p>
      <w:pPr>
        <w:spacing w:after="0" w:line="53" w:lineRule="exact"/>
        <w:rPr>
          <w:rFonts w:ascii="Arial" w:cs="Arial" w:eastAsia="Arial" w:hAnsi="Arial"/>
          <w:sz w:val="16"/>
          <w:szCs w:val="16"/>
          <w:color w:val="auto"/>
        </w:rPr>
      </w:pPr>
    </w:p>
    <w:p>
      <w:pPr>
        <w:ind w:left="-40" w:right="60" w:firstLine="436"/>
        <w:spacing w:after="0" w:line="272" w:lineRule="auto"/>
        <w:tabs>
          <w:tab w:leader="none" w:pos="635"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Termination of Agreement</w:t>
      </w:r>
      <w:r>
        <w:rPr>
          <w:rFonts w:ascii="Arial" w:cs="Arial" w:eastAsia="Arial" w:hAnsi="Arial"/>
          <w:sz w:val="17"/>
          <w:szCs w:val="17"/>
          <w:color w:val="auto"/>
        </w:rPr>
        <w:t>. If any condition specified in this Section shall not have been fulfilled when and as required to be fulfilled and such</w:t>
      </w:r>
      <w:r>
        <w:rPr>
          <w:rFonts w:ascii="Arial" w:cs="Arial" w:eastAsia="Arial" w:hAnsi="Arial"/>
          <w:sz w:val="17"/>
          <w:szCs w:val="17"/>
          <w:i w:val="1"/>
          <w:iCs w:val="1"/>
          <w:color w:val="auto"/>
        </w:rPr>
        <w:t xml:space="preserve"> </w:t>
      </w:r>
      <w:r>
        <w:rPr>
          <w:rFonts w:ascii="Arial" w:cs="Arial" w:eastAsia="Arial" w:hAnsi="Arial"/>
          <w:sz w:val="17"/>
          <w:szCs w:val="17"/>
          <w:color w:val="auto"/>
        </w:rPr>
        <w:t>failure to be fulfilled when and as required to be fulfilled was not caused by a breach of this Agreement by any of the Underwriters,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and the Selling Shareholders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 regardless of the reason for such termination.</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jc w:val="both"/>
        <w:ind w:left="-40" w:firstLine="436"/>
        <w:spacing w:after="0" w:line="263" w:lineRule="auto"/>
        <w:tabs>
          <w:tab w:leader="none" w:pos="645"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affiliates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 501(b) under the 1933 Act (each, an “Affiliate”)), its selling agents and each person, if any, who controls any Underwriter within the meaning of Section 15 of the 1933 Act or Section 20 of the 1934 Act as follows:</w:t>
      </w:r>
    </w:p>
    <w:p>
      <w:pPr>
        <w:spacing w:after="0" w:line="75" w:lineRule="exact"/>
        <w:rPr>
          <w:rFonts w:ascii="Arial" w:cs="Arial" w:eastAsia="Arial" w:hAnsi="Arial"/>
          <w:sz w:val="18"/>
          <w:szCs w:val="18"/>
          <w:color w:val="auto"/>
        </w:rPr>
      </w:pPr>
    </w:p>
    <w:p>
      <w:pPr>
        <w:ind w:left="400" w:firstLine="419"/>
        <w:spacing w:after="0" w:line="269" w:lineRule="auto"/>
        <w:tabs>
          <w:tab w:leader="none" w:pos="103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reasonable and documented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(as defined under Rule 433(h) under the 1933 Act) or investor presentations made to investors by the Company (whether in person or electronically), or the omission or alleged omission in any preliminary prospectus, Issuer Free Writing Prospectus, any Written Testing-the-Waters Communication, Prospectus or in any Marketing Materials of a material fact necessary in order to make the statements therein, in the light of the circumstances under which they were made, not misleading;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80" w:top="274" w:right="499" w:bottom="1440" w:gutter="0" w:footer="0" w:header="0"/>
        </w:sectPr>
      </w:pPr>
    </w:p>
    <w:bookmarkStart w:id="238" w:name="page239"/>
    <w:bookmarkEnd w:id="238"/>
    <w:p>
      <w:pPr>
        <w:ind w:left="440" w:right="300" w:firstLine="419"/>
        <w:spacing w:after="0" w:line="257" w:lineRule="auto"/>
        <w:tabs>
          <w:tab w:leader="none" w:pos="1128"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against any and all loss, liability, claim, damage and reasonable and documented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 the Selling Shareholders;</w:t>
      </w:r>
    </w:p>
    <w:p>
      <w:pPr>
        <w:spacing w:after="0" w:line="79" w:lineRule="exact"/>
        <w:rPr>
          <w:rFonts w:ascii="Arial" w:cs="Arial" w:eastAsia="Arial" w:hAnsi="Arial"/>
          <w:sz w:val="18"/>
          <w:szCs w:val="18"/>
          <w:color w:val="auto"/>
        </w:rPr>
      </w:pPr>
    </w:p>
    <w:p>
      <w:pPr>
        <w:ind w:left="440" w:firstLine="419"/>
        <w:spacing w:after="0" w:line="255" w:lineRule="auto"/>
        <w:tabs>
          <w:tab w:leader="none" w:pos="11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against any and all reasonable and documented out-of-pocket expenses as incurred (including the reasonable and documented fees and disbursements of counsel chosen by BofAS, provided however, that the Company shall not be liable for the expenses of more than one separate counsel in the aggregate for all Underwriters (in addition to a single local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430A Information, the General Disclosure Package, any preliminary prospectus, any Issuer Free Writing Prospectus, any Written Testing-the-Waters Communication, the Prospectus (or any amendment or supplement thereto) or any Marketing Materials, including any roadshow or investor presentations made to investors by the Company (whether in person or electronically) in reliance upon and in conformity with the Underwriter Information.</w:t>
      </w:r>
    </w:p>
    <w:p>
      <w:pPr>
        <w:spacing w:after="0" w:line="84" w:lineRule="exact"/>
        <w:rPr>
          <w:sz w:val="20"/>
          <w:szCs w:val="20"/>
          <w:color w:val="auto"/>
        </w:rPr>
      </w:pPr>
    </w:p>
    <w:p>
      <w:pPr>
        <w:ind w:right="20" w:firstLine="436"/>
        <w:spacing w:after="0" w:line="253"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 by Selling Shareholders</w:t>
      </w:r>
      <w:r>
        <w:rPr>
          <w:rFonts w:ascii="Arial" w:cs="Arial" w:eastAsia="Arial" w:hAnsi="Arial"/>
          <w:sz w:val="18"/>
          <w:szCs w:val="18"/>
          <w:color w:val="auto"/>
        </w:rPr>
        <w:t>. Each Selling Shareholder, severally and not jointly, agrees to indemnify and hold</w:t>
      </w:r>
      <w:r>
        <w:rPr>
          <w:rFonts w:ascii="Arial" w:cs="Arial" w:eastAsia="Arial" w:hAnsi="Arial"/>
          <w:sz w:val="18"/>
          <w:szCs w:val="18"/>
          <w:i w:val="1"/>
          <w:iCs w:val="1"/>
          <w:color w:val="auto"/>
        </w:rPr>
        <w:t xml:space="preserve"> </w:t>
      </w:r>
      <w:r>
        <w:rPr>
          <w:rFonts w:ascii="Arial" w:cs="Arial" w:eastAsia="Arial" w:hAnsi="Arial"/>
          <w:sz w:val="18"/>
          <w:szCs w:val="18"/>
          <w:color w:val="auto"/>
        </w:rPr>
        <w:t>harmless each Underwriter, its Affiliates and selling agents and each person, if any, who controls any Underwriter within the meaning of Section 15 of the 1933 Act or Section 20 of the 1934 Act to the extent and in the manner set forth in clauses (a)(i), (ii) and (iii) above; provided that each Selling Shareholder shall be liable only to the extent that such untrue statement or alleged untrue statement or omission or alleged omission has been made in the Registration Statement, any preliminary prospectus, the General Disclosure Package, the Prospectus (or any amendment or supplement thereto) or any Issuer Free Writing Prospectus in reliance upon and in conformity with the Selling Shareholder Information; provided, further, that the liability under this subsection of each Selling Shareholder shall be limited to an amount equal to the aggregate gross proceeds after deducting underwriting commissions and discounts, but before expenses, to such Selling Shareholder from the sale of Securities sold by such Selling Shareholder hereunder (the “Selling Shareholder Proceeds”).</w:t>
      </w:r>
    </w:p>
    <w:p>
      <w:pPr>
        <w:spacing w:after="0" w:line="88" w:lineRule="exact"/>
        <w:rPr>
          <w:rFonts w:ascii="Arial" w:cs="Arial" w:eastAsia="Arial" w:hAnsi="Arial"/>
          <w:sz w:val="18"/>
          <w:szCs w:val="18"/>
          <w:color w:val="auto"/>
        </w:rPr>
      </w:pPr>
    </w:p>
    <w:p>
      <w:pPr>
        <w:ind w:right="20" w:firstLine="436"/>
        <w:spacing w:after="0" w:line="269" w:lineRule="auto"/>
        <w:tabs>
          <w:tab w:leader="none" w:pos="685"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Indemnification of Company, Directors and Officers and Selling Shareholders</w:t>
      </w:r>
      <w:r>
        <w:rPr>
          <w:rFonts w:ascii="Arial" w:cs="Arial" w:eastAsia="Arial" w:hAnsi="Arial"/>
          <w:sz w:val="17"/>
          <w:szCs w:val="17"/>
          <w:color w:val="auto"/>
        </w:rPr>
        <w:t>. Each Underwriter severally agrees to indemnify and hold</w:t>
      </w:r>
      <w:r>
        <w:rPr>
          <w:rFonts w:ascii="Arial" w:cs="Arial" w:eastAsia="Arial" w:hAnsi="Arial"/>
          <w:sz w:val="17"/>
          <w:szCs w:val="17"/>
          <w:i w:val="1"/>
          <w:iCs w:val="1"/>
          <w:color w:val="auto"/>
        </w:rPr>
        <w:t xml:space="preserve"> </w:t>
      </w:r>
      <w:r>
        <w:rPr>
          <w:rFonts w:ascii="Arial" w:cs="Arial" w:eastAsia="Arial" w:hAnsi="Arial"/>
          <w:sz w:val="17"/>
          <w:szCs w:val="17"/>
          <w:color w:val="auto"/>
        </w:rPr>
        <w:t>harmless the Company, its directors, each of its officers who signed the Registration Statement, and each person, if any, who controls the Company within the meaning of Section 15 of the 1933 Act or Section 20 of the 1934 Act, and each Selling Shareholder and each person, if any, who controls any Selling Shareholder within the meaning of Section 15 of the 1933 Act or Section 20 of the 1934 Act against any and all loss, liability, claim, damage and reasonable and documented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the General Disclosure Package, any preliminary prospectus, any Issuer Free Writing Prospectus, any Written Testing-the-Waters Communication, the Prospectus (or any amendment or supplement thereto) or any Marketing Materials, including any roadshow or investor presentations made to investors by the Company (whether in person or electronically) in reliance upon and in conformity with the Underwriter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39" w:name="page240"/>
    <w:bookmarkEnd w:id="239"/>
    <w:p>
      <w:pPr>
        <w:ind w:firstLine="436"/>
        <w:spacing w:after="0" w:line="285" w:lineRule="auto"/>
        <w:tabs>
          <w:tab w:leader="none" w:pos="695"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Actions against Parties; Notification</w:t>
      </w:r>
      <w:r>
        <w:rPr>
          <w:rFonts w:ascii="Arial" w:cs="Arial" w:eastAsia="Arial" w:hAnsi="Arial"/>
          <w:sz w:val="16"/>
          <w:szCs w:val="16"/>
          <w:color w:val="auto"/>
        </w:rPr>
        <w:t>. Each indemnified party shall give notice as promptly as reasonably practicable to each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and 6(b) above, counsel to the indemnified parties shall be selected by BofAS, and, in the case of parties indemnified pursuant to</w:t>
      </w:r>
    </w:p>
    <w:p>
      <w:pPr>
        <w:spacing w:after="0" w:line="1" w:lineRule="exact"/>
        <w:rPr>
          <w:rFonts w:ascii="Arial" w:cs="Arial" w:eastAsia="Arial" w:hAnsi="Arial"/>
          <w:sz w:val="16"/>
          <w:szCs w:val="16"/>
          <w:color w:val="auto"/>
        </w:rPr>
      </w:pPr>
    </w:p>
    <w:p>
      <w:pPr>
        <w:ind w:right="40"/>
        <w:spacing w:after="0" w:line="267" w:lineRule="auto"/>
        <w:rPr>
          <w:rFonts w:ascii="Arial" w:cs="Arial" w:eastAsia="Arial" w:hAnsi="Arial"/>
          <w:sz w:val="16"/>
          <w:szCs w:val="16"/>
          <w:color w:val="auto"/>
        </w:rPr>
      </w:pPr>
      <w:r>
        <w:rPr>
          <w:rFonts w:ascii="Arial" w:cs="Arial" w:eastAsia="Arial" w:hAnsi="Arial"/>
          <w:sz w:val="17"/>
          <w:szCs w:val="17"/>
          <w:color w:val="auto"/>
        </w:rPr>
        <w:t>Section 6(c) above, counsel to the indemnified parties shall be selected by the Company and the Selling Shareholders.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77" w:lineRule="exact"/>
        <w:rPr>
          <w:rFonts w:ascii="Arial" w:cs="Arial" w:eastAsia="Arial" w:hAnsi="Arial"/>
          <w:sz w:val="16"/>
          <w:szCs w:val="16"/>
          <w:color w:val="auto"/>
        </w:rPr>
      </w:pPr>
    </w:p>
    <w:p>
      <w:pPr>
        <w:ind w:right="20" w:firstLine="436"/>
        <w:spacing w:after="0" w:line="255" w:lineRule="auto"/>
        <w:tabs>
          <w:tab w:leader="none" w:pos="685"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84" w:lineRule="exact"/>
        <w:rPr>
          <w:rFonts w:ascii="Arial" w:cs="Arial" w:eastAsia="Arial" w:hAnsi="Arial"/>
          <w:sz w:val="18"/>
          <w:szCs w:val="18"/>
          <w:color w:val="auto"/>
        </w:rPr>
      </w:pPr>
    </w:p>
    <w:p>
      <w:pPr>
        <w:ind w:right="20" w:firstLine="436"/>
        <w:spacing w:after="0" w:line="277" w:lineRule="auto"/>
        <w:tabs>
          <w:tab w:leader="none" w:pos="665"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Other Agreements with Respect to Indemnification</w:t>
      </w:r>
      <w:r>
        <w:rPr>
          <w:rFonts w:ascii="Arial" w:cs="Arial" w:eastAsia="Arial" w:hAnsi="Arial"/>
          <w:sz w:val="18"/>
          <w:szCs w:val="18"/>
          <w:color w:val="auto"/>
        </w:rPr>
        <w:t>. The provisions of this Section 6 shall not affect any agreement among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Shareholders with respect to indemnification.</w:t>
      </w:r>
    </w:p>
    <w:p>
      <w:pPr>
        <w:spacing w:after="0" w:line="170"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Selling Shareholders,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Selling Shareholders, on the one hand, and of the Underwriters, on the other hand, in connection with the statements or omissions, or in connection with any violation of the nature referred to in Section 6(e) hereof, which resulted in such losses, liabilities, claims, damages or expenses, as well as any other relevant equitable considerations.</w:t>
      </w:r>
    </w:p>
    <w:p>
      <w:pPr>
        <w:spacing w:after="0" w:line="18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relative benefits received by the Company and the Selling Shareholders,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Selling Shareholders,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240" w:name="page241"/>
    <w:bookmarkEnd w:id="240"/>
    <w:p>
      <w:pPr>
        <w:ind w:right="3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or any violation of the nature referred to in Section 6(e) hereof.</w:t>
      </w:r>
    </w:p>
    <w:p>
      <w:pPr>
        <w:spacing w:after="0" w:line="17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Company, the Selling Shareholders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9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 and the aggregate liability of each Selling Shareholder under the contribution provisions contained in this Section 7 and the indemnification provisions contained in Section 6(b) shall be limited in the aggregate to its respective Selling Shareholder Proceeds.</w:t>
      </w:r>
    </w:p>
    <w:p>
      <w:pPr>
        <w:spacing w:after="0" w:line="18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or any Selling Shareholder within the meaning of Section 15 of the 1933 Act or Section 20 of the 1934 Act shall have the same rights to contribution as the Company or such Selling Shareholder, as the case may be. The Underwriters’ respective obligations to contribute pursuant to this Section 7 are several in proportion to the number of Initial Securities set forth opposite their respective names in Schedule A hereto and not joint. Each Selling Shareholder’s obligation to contribute pursuant to this Section 7 is several and not joint, and in proportion to its respective Selling Shareholder Proceeds.</w:t>
      </w:r>
    </w:p>
    <w:p>
      <w:pPr>
        <w:spacing w:after="0" w:line="166" w:lineRule="exact"/>
        <w:rPr>
          <w:sz w:val="20"/>
          <w:szCs w:val="20"/>
          <w:color w:val="auto"/>
        </w:rPr>
      </w:pPr>
    </w:p>
    <w:p>
      <w:pPr>
        <w:ind w:right="300" w:firstLine="440"/>
        <w:spacing w:after="0" w:line="257" w:lineRule="auto"/>
        <w:rPr>
          <w:sz w:val="20"/>
          <w:szCs w:val="20"/>
          <w:color w:val="auto"/>
        </w:rPr>
      </w:pPr>
      <w:r>
        <w:rPr>
          <w:rFonts w:ascii="Arial" w:cs="Arial" w:eastAsia="Arial" w:hAnsi="Arial"/>
          <w:sz w:val="18"/>
          <w:szCs w:val="18"/>
          <w:color w:val="auto"/>
        </w:rPr>
        <w:t>The provisions of this Section shall not affect any agreement among the Company and the Selling Shareholders with respect to contribution. Notwithstanding anything to the contrary in this Agreement, the aggregate liability of each Selling Shareholder under such Selling Shareholder’s representations and warranties contained in Section 1(b) of this Agreement, under any certificate or agreement delivered pursuant to this Agreement, under the indemnity and contribution agreements contained in this Sections 6 and 7 or otherwise pursuant to this Agreement shall be limited in the aggregate to its respective Selling Shareholder Proceeds.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41" w:name="page242"/>
    <w:bookmarkEnd w:id="241"/>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 Company or any of its subsidiaries or the Selling Shareholders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or any person controlling any Selling Shareholder and (ii) delivery of and payment for the Securities.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68" w:lineRule="auto"/>
        <w:tabs>
          <w:tab w:leader="none" w:pos="685"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Representatives may terminate this Agreement, by notice to the Company and the Selling Shareholders, at any time at or</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Nasdaq, or (iv) if trading generally in Nasdaq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76" w:lineRule="exact"/>
        <w:rPr>
          <w:rFonts w:ascii="Arial" w:cs="Arial" w:eastAsia="Arial" w:hAnsi="Arial"/>
          <w:sz w:val="17"/>
          <w:szCs w:val="17"/>
          <w:color w:val="auto"/>
        </w:rPr>
      </w:pPr>
    </w:p>
    <w:p>
      <w:pPr>
        <w:jc w:val="both"/>
        <w:ind w:right="140" w:firstLine="436"/>
        <w:spacing w:after="0" w:line="263" w:lineRule="auto"/>
        <w:tabs>
          <w:tab w:leader="none" w:pos="695"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4 hereof, and provided further that Sections 1, 6, 7, 8, 14, 15, 16 and 17 shall survive such termination and remain in full force and effect.</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Default by One or More of the Underwriters</w:t>
      </w:r>
      <w:r>
        <w:rPr>
          <w:rFonts w:ascii="Arial" w:cs="Arial" w:eastAsia="Arial" w:hAnsi="Arial"/>
          <w:sz w:val="17"/>
          <w:szCs w:val="17"/>
          <w:color w:val="auto"/>
        </w:rPr>
        <w:t>.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68" w:lineRule="exact"/>
        <w:rPr>
          <w:sz w:val="20"/>
          <w:szCs w:val="20"/>
          <w:color w:val="auto"/>
        </w:rPr>
      </w:pPr>
    </w:p>
    <w:p>
      <w:pPr>
        <w:ind w:left="440" w:right="660" w:firstLine="419"/>
        <w:spacing w:after="0" w:line="311" w:lineRule="auto"/>
        <w:tabs>
          <w:tab w:leader="none" w:pos="107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242" w:name="page243"/>
    <w:bookmarkEnd w:id="242"/>
    <w:p>
      <w:pPr>
        <w:ind w:left="444" w:right="80" w:firstLine="419"/>
        <w:spacing w:after="0" w:line="259" w:lineRule="auto"/>
        <w:tabs>
          <w:tab w:leader="none" w:pos="11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left="4" w:right="240" w:firstLine="440"/>
        <w:spacing w:after="0" w:line="273" w:lineRule="auto"/>
        <w:rPr>
          <w:sz w:val="20"/>
          <w:szCs w:val="20"/>
          <w:color w:val="auto"/>
        </w:rPr>
      </w:pPr>
      <w:r>
        <w:rPr>
          <w:rFonts w:ascii="Arial" w:cs="Arial" w:eastAsia="Arial" w:hAnsi="Arial"/>
          <w:sz w:val="17"/>
          <w:szCs w:val="17"/>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and any Selling Shareholder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78"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if mailed or transmitted by any standard form of telecommunication. Notices to the Underwriters shall be directed to BofAS at One Bryant Park, New York, New York 10036, attention of Syndicate Department (facsimile: (646) 855-3073), with a copy to ECM Legal (facsimile: (212) 230-8730) or to Barclays Capital Inc., 745 Seventh Avenue, New York, New York 10019, Attention: Syndicate Registration (Fax: (646) 834-8133); notices to the Company shall be directed to it at 6770 Parker Farm Drive, Wilmington, NC 28405, attention of General Counsel; notices to the Insight Selling Shareholders shall be directed to Insight Partners, 1114 Avenue of the Americas, 36</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10036, Attention: Andrew Prodromos, Deputy General Counsel and Chief Compliance Office, with a copy, which shall not constitute notice, to Willkie Farr &amp; Gallagher LLP, 787 Seventh Avenue, New York, New York 10019, Attention: Morgan Elwyn and Jeffrey Hochman; and notices to the Non-Insight Selling Shareholders shall be directed to each of the Attorneys-in Fact named in the Power of Attorney, c/o the Company at the address set forth on the cover of the Registration Statement, Attention: General Counsel with a copy, which shall not constitute notice, to Whalen LLP, 1601 Dove Street, Suite 270, Newport Beach, California 92660.</w:t>
      </w:r>
    </w:p>
    <w:p>
      <w:pPr>
        <w:spacing w:after="0" w:line="168"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Each of the Company and each Selling Shareholder acknowledges and agrees that (a) the purchase and sale of the Securities pursuant to this Agreement, including the determination of the public offering price of the Securities and any related discounts and commissions, is an arm’s-length commercial transaction between the Company and the Selling Shareholders, on the one hand, and the several Underwriters, on the other hand, and does not constitute a recommendation, investment advice, or solicitation of any action by the Underwriters,</w:t>
      </w:r>
    </w:p>
    <w:p>
      <w:pPr>
        <w:spacing w:after="0" w:line="1" w:lineRule="exact"/>
        <w:rPr>
          <w:sz w:val="20"/>
          <w:szCs w:val="20"/>
          <w:color w:val="auto"/>
        </w:rPr>
      </w:pPr>
    </w:p>
    <w:p>
      <w:pPr>
        <w:ind w:left="4" w:right="20" w:hanging="4"/>
        <w:spacing w:after="0" w:line="285" w:lineRule="auto"/>
        <w:tabs>
          <w:tab w:leader="none" w:pos="25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 connection with the offering of the Securities and the process leading thereto, each Underwriter is and has been acting solely as a principal and is not the agent or fiduciary of the Company, any of its subsidiaries or any Selling Shareholder, or its respective stockholders, creditors, employees or any other party, (c) no Underwriter has assumed or will assume an advisory or fiduciary responsibility in favor of the Company or any Selling Shareholder with respect to the offering of the Securities or the process leading thereto (irrespective of whether such Underwriter has advised or is currently advising the Company or any of its subsidiaries or any Selling Shareholder on other matters) and no Underwriter has any obligation to the Company or any Selling Shareholder with respect to the offering of the Securities except the obligations expressly set forth in this Agreement, (d) the Underwriters and their respective affiliates may be engaged in a broad range of transactions that involve interests that differ from those of each of the Company and each Selling Shareholder, (e) the Underwriters have not provided any legal, accounting, regulatory or tax advice with respect to the offering of the Securities and the Company and each of the Selling Shareholders has consulted its own respective legal, accounting, regulatory and tax advisors to the extent it deemed appropriate, and (f) none of the activities of the Underwriters in connection with the transactions contemplated herein constitutes a recommendation, investment advices or solicitation of any action by the Underwriters with respect to any entity or natural person.</w:t>
      </w:r>
    </w:p>
    <w:p>
      <w:pPr>
        <w:spacing w:after="0" w:line="10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243" w:name="page244"/>
    <w:bookmarkEnd w:id="2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59"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w:t>
      </w:r>
      <w:r>
        <w:rPr>
          <w:rFonts w:ascii="Arial" w:cs="Arial" w:eastAsia="Arial" w:hAnsi="Arial"/>
          <w:sz w:val="17"/>
          <w:szCs w:val="17"/>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7"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each inure to the benefit of and be binding upon the Underwriters and the Company and the Selling Shareholders and their respective successors. Nothing expressed or mentioned in this Agreement is intended or shall be construed to give any person, firm or corporation, other than the Underwriters, the Company and the Selling Shareholders,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 Selling Shareholders,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65"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Trial by Jury</w:t>
      </w:r>
      <w:r>
        <w:rPr>
          <w:rFonts w:ascii="Arial" w:cs="Arial" w:eastAsia="Arial" w:hAnsi="Arial"/>
          <w:sz w:val="16"/>
          <w:szCs w:val="16"/>
          <w:color w:val="auto"/>
        </w:rPr>
        <w:t>. The Company (on its behalf and, to the extent permitted by applicable law, on behalf of its stockholders and affiliates), each of the Selling Shareholders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44" w:name="page245"/>
    <w:bookmarkEnd w:id="244"/>
    <w:p>
      <w:pPr>
        <w:ind w:right="4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17.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245" w:name="page246"/>
    <w:bookmarkEnd w:id="245"/>
    <w:p>
      <w:pPr>
        <w:ind w:right="4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foregoing is in accordance with your understanding of our agreement, please sign and return to the Company, the Insight Selling Shareholders and the Attorney-in-Fact for the Non-Insight Selling Shareholders a counterpart hereof, whereupon this instrument, along with all counterparts, will become a binding agreement among the Underwriters, the Company and the Selling Shareholders in accordance with its terms.</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NCINO,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620"/>
        <w:spacing w:after="0"/>
        <w:tabs>
          <w:tab w:leader="none" w:pos="7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As Attorney-in-Fact acting on behalf of the Non-Insight</w:t>
      </w:r>
    </w:p>
    <w:p>
      <w:pPr>
        <w:spacing w:after="0" w:line="4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Selling Shareholders named in Schedule B hereto</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440" w:top="274" w:right="539" w:bottom="1440" w:gutter="0" w:footer="0" w:header="0"/>
        </w:sectPr>
      </w:pPr>
    </w:p>
    <w:bookmarkStart w:id="246" w:name="page247"/>
    <w:bookmarkEnd w:id="24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INSIGHT VENTURE PARTNERS IX,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IX,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IX,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Prodromos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INSIGHT VENTURE PARTNERS (CAYMAN) IX, L.P.</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IX,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IX,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Prodromos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INSIGHT VENTURE PARTNERS IX</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(CO-INVESTORS),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IX,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IX,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Prodromos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Officer</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9900"/>
          </w:cols>
          <w:pgMar w:left="1440" w:top="270" w:right="559" w:bottom="1440" w:gutter="0" w:footer="0" w:header="0"/>
        </w:sectPr>
      </w:pPr>
    </w:p>
    <w:bookmarkStart w:id="247" w:name="page248"/>
    <w:bookmarkEnd w:id="24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INSIGHT VENTURE PARTNERS (DELAWARE) IX,</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IX,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IX,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Prodromos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INSIGHT VENTURE PARTNERS GROWTH-</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BUYOUT COINVESTMENT FUND,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Growth-Buyout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Coinvestment,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Growth-Buyout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Coinvestment, Ltd.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Prodromos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INSIGHT VENTURE PARTNERS GROWTH-</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BUYOUT COINVESTMENT FUND (CAYMAN),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Growth-Buyout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Coinvestment,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Growth-Buyout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Coinvestment, Ltd.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Prodromos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Officer</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820"/>
          </w:cols>
          <w:pgMar w:left="1440" w:top="270" w:right="639" w:bottom="1440" w:gutter="0" w:footer="0" w:header="0"/>
        </w:sectPr>
      </w:pPr>
    </w:p>
    <w:bookmarkStart w:id="248" w:name="page249"/>
    <w:bookmarkEnd w:id="24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INSIGHT VENTURE PARTNERS GROWTH-</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BUYOUT COINVESTMENT FUND (B),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Growth-Buyout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Coinvestment,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Growth-Buyout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Coinvestment, Ltd.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Prodromos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INSIGHT VENTURE PARTNERS GROWTH-</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BUYOUT COINVESTMENT FUND (DELAWARE),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Growth-Buyout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Coinvestment,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Insight Venture Associates Growth-Buyout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Coinvestment, Ltd.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Prodromos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Officer</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680"/>
          </w:cols>
          <w:pgMar w:left="1440" w:top="270" w:right="77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CONFIRMED AND ACCEPTED,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BOFA SECURITIES,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other Underwriters named in Schedule A hereto.</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019"/>
          </w:cols>
          <w:pgMar w:left="440" w:top="274" w:right="1440"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225" w:lineRule="exact"/>
        <w:rPr>
          <w:sz w:val="20"/>
          <w:szCs w:val="20"/>
          <w:color w:val="auto"/>
        </w:rPr>
      </w:pPr>
    </w:p>
    <w:p>
      <w:pPr>
        <w:spacing w:after="0"/>
        <w:tabs>
          <w:tab w:leader="none" w:pos="4720" w:val="left"/>
        </w:tabs>
        <w:rPr>
          <w:sz w:val="20"/>
          <w:szCs w:val="20"/>
          <w:color w:val="auto"/>
        </w:rPr>
      </w:pPr>
      <w:r>
        <w:rPr>
          <w:rFonts w:ascii="Arial" w:cs="Arial" w:eastAsia="Arial" w:hAnsi="Arial"/>
          <w:sz w:val="17"/>
          <w:szCs w:val="17"/>
          <w:color w:val="auto"/>
        </w:rPr>
        <w:t>The public offering price per share for the Securities shall be $[</w:t>
        <w:tab/>
        <w:t>].</w:t>
      </w:r>
    </w:p>
    <w:p>
      <w:pPr>
        <w:spacing w:after="0" w:line="23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purchase price per share for the Securities to be paid by the several Underwriters shall be $[ ], being an amount equal to the public offering price set forth above less $[ ] per share, subject to adjustment in accordance with Section 2(b) for dividends or distributions declared by the Company and payable on the Initial Securities but not payable on the Option Securities.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Number of</w:t>
            </w: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Name of Underwriter</w:t>
            </w:r>
          </w:p>
        </w:tc>
        <w:tc>
          <w:tcPr>
            <w:tcW w:w="666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Initial Securities</w:t>
            </w: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BofA Securities, Inc.</w:t>
            </w:r>
          </w:p>
        </w:tc>
        <w:tc>
          <w:tcPr>
            <w:tcW w:w="66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Barclays Capital Inc.</w:t>
            </w:r>
          </w:p>
        </w:tc>
        <w:tc>
          <w:tcPr>
            <w:tcW w:w="6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360" w:type="dxa"/>
            <w:vAlign w:val="bottom"/>
          </w:tcPr>
          <w:p>
            <w:pPr>
              <w:ind w:left="360"/>
              <w:spacing w:after="0"/>
              <w:rPr>
                <w:sz w:val="20"/>
                <w:szCs w:val="20"/>
                <w:color w:val="auto"/>
              </w:rPr>
            </w:pPr>
            <w:r>
              <w:rPr>
                <w:rFonts w:ascii="Arial" w:cs="Arial" w:eastAsia="Arial" w:hAnsi="Arial"/>
                <w:sz w:val="18"/>
                <w:szCs w:val="18"/>
                <w:color w:val="auto"/>
              </w:rPr>
              <w:t>Total</w:t>
            </w:r>
          </w:p>
        </w:tc>
        <w:tc>
          <w:tcPr>
            <w:tcW w:w="66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372"/>
        </w:trPr>
        <w:tc>
          <w:tcPr>
            <w:tcW w:w="3360" w:type="dxa"/>
            <w:vAlign w:val="bottom"/>
          </w:tcPr>
          <w:p>
            <w:pPr>
              <w:spacing w:after="0"/>
              <w:rPr>
                <w:sz w:val="24"/>
                <w:szCs w:val="24"/>
                <w:color w:val="auto"/>
              </w:rPr>
            </w:pPr>
          </w:p>
        </w:tc>
        <w:tc>
          <w:tcPr>
            <w:tcW w:w="7660" w:type="dxa"/>
            <w:vAlign w:val="bottom"/>
            <w:gridSpan w:val="3"/>
          </w:tcPr>
          <w:p>
            <w:pPr>
              <w:ind w:left="1840"/>
              <w:spacing w:after="0"/>
              <w:rPr>
                <w:sz w:val="20"/>
                <w:szCs w:val="20"/>
                <w:color w:val="auto"/>
              </w:rPr>
            </w:pPr>
            <w:r>
              <w:rPr>
                <w:rFonts w:ascii="Arial" w:cs="Arial" w:eastAsia="Arial" w:hAnsi="Arial"/>
                <w:sz w:val="18"/>
                <w:szCs w:val="18"/>
                <w:color w:val="auto"/>
              </w:rPr>
              <w:t>Sch A-1</w:t>
            </w:r>
          </w:p>
        </w:tc>
      </w:tr>
    </w:tbl>
    <w:p>
      <w:pPr>
        <w:sectPr>
          <w:pgSz w:w="11900" w:h="16838" w:orient="portrait"/>
          <w:cols w:equalWidth="0" w:num="1">
            <w:col w:w="11020"/>
          </w:cols>
          <w:pgMar w:left="440" w:top="274" w:right="439" w:bottom="1440" w:gutter="0" w:footer="0" w:header="0"/>
        </w:sectPr>
      </w:pPr>
    </w:p>
    <w:bookmarkStart w:id="251" w:name="page252"/>
    <w:bookmarkEnd w:id="251"/>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B</w:t>
      </w:r>
    </w:p>
    <w:p>
      <w:pPr>
        <w:sectPr>
          <w:pgSz w:w="11900" w:h="16838" w:orient="portrait"/>
          <w:cols w:equalWidth="0" w:num="1">
            <w:col w:w="10980"/>
          </w:cols>
          <w:pgMar w:left="440" w:top="274" w:right="479" w:bottom="1440" w:gutter="0" w:footer="0" w:header="0"/>
        </w:sectPr>
      </w:pPr>
    </w:p>
    <w:p>
      <w:pPr>
        <w:spacing w:after="0" w:line="259" w:lineRule="exact"/>
        <w:rPr>
          <w:sz w:val="20"/>
          <w:szCs w:val="20"/>
          <w:color w:val="auto"/>
        </w:rPr>
      </w:pPr>
    </w:p>
    <w:p>
      <w:pPr>
        <w:jc w:val="center"/>
        <w:ind w:left="7940"/>
        <w:spacing w:after="0"/>
        <w:rPr>
          <w:sz w:val="20"/>
          <w:szCs w:val="20"/>
          <w:color w:val="auto"/>
        </w:rPr>
      </w:pPr>
      <w:r>
        <w:rPr>
          <w:rFonts w:ascii="Arial" w:cs="Arial" w:eastAsia="Arial" w:hAnsi="Arial"/>
          <w:sz w:val="14"/>
          <w:szCs w:val="14"/>
          <w:color w:val="auto"/>
        </w:rPr>
        <w:t>Number of Initial</w:t>
      </w:r>
    </w:p>
    <w:p>
      <w:pPr>
        <w:jc w:val="center"/>
        <w:ind w:left="7940"/>
        <w:spacing w:after="0"/>
        <w:rPr>
          <w:sz w:val="20"/>
          <w:szCs w:val="20"/>
          <w:color w:val="auto"/>
        </w:rPr>
      </w:pPr>
      <w:r>
        <w:rPr>
          <w:rFonts w:ascii="Arial" w:cs="Arial" w:eastAsia="Arial" w:hAnsi="Arial"/>
          <w:sz w:val="12"/>
          <w:szCs w:val="12"/>
          <w:u w:val="single" w:color="auto"/>
          <w:color w:val="auto"/>
        </w:rPr>
        <w:t>Securities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99516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spacing w:after="0" w:line="265" w:lineRule="auto"/>
        <w:rPr>
          <w:sz w:val="20"/>
          <w:szCs w:val="20"/>
          <w:color w:val="auto"/>
        </w:rPr>
      </w:pPr>
      <w:r>
        <w:rPr>
          <w:rFonts w:ascii="Arial" w:cs="Arial" w:eastAsia="Arial" w:hAnsi="Arial"/>
          <w:sz w:val="13"/>
          <w:szCs w:val="13"/>
          <w:color w:val="auto"/>
        </w:rPr>
        <w:t>Maximum Number of Option Securities to Be Sold</w:t>
      </w:r>
    </w:p>
    <w:p>
      <w:pPr>
        <w:spacing w:after="0" w:line="1" w:lineRule="exact"/>
        <w:rPr>
          <w:sz w:val="20"/>
          <w:szCs w:val="20"/>
          <w:color w:val="auto"/>
        </w:rPr>
      </w:pPr>
    </w:p>
    <w:p>
      <w:pPr>
        <w:sectPr>
          <w:pgSz w:w="11900" w:h="16838" w:orient="portrait"/>
          <w:cols w:equalWidth="0" w:num="2">
            <w:col w:w="9120" w:space="160"/>
            <w:col w:w="1700"/>
          </w:cols>
          <w:pgMar w:left="440" w:top="274" w:right="479" w:bottom="1440" w:gutter="0" w:footer="0" w:header="0"/>
          <w:type w:val="continuous"/>
        </w:sectPr>
      </w:pPr>
    </w:p>
    <w:p>
      <w:pPr>
        <w:spacing w:after="0" w:line="233" w:lineRule="auto"/>
        <w:rPr>
          <w:sz w:val="20"/>
          <w:szCs w:val="20"/>
          <w:color w:val="auto"/>
        </w:rPr>
      </w:pPr>
      <w:r>
        <w:rPr>
          <w:rFonts w:ascii="Arial" w:cs="Arial" w:eastAsia="Arial" w:hAnsi="Arial"/>
          <w:sz w:val="18"/>
          <w:szCs w:val="18"/>
          <w:color w:val="auto"/>
        </w:rPr>
        <w:t>Insight Venture Partners IX, 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(Cayman)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Insight Venture Partners IX (Co-Investors),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(Delaware)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Insight Venture Partners Growth-Buyout Coinvestment Fund, 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Insight Venture Partners Growth-Buyout Coinvestment Fund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699516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Growth-Buyout Coinvestment Fund (B),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Growth-Buyout Coinvestment Fund (Delaware),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699516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Sch B-1</w:t>
      </w:r>
    </w:p>
    <w:p>
      <w:pPr>
        <w:sectPr>
          <w:pgSz w:w="11900" w:h="16838" w:orient="portrait"/>
          <w:cols w:equalWidth="0" w:num="1">
            <w:col w:w="10980"/>
          </w:cols>
          <w:pgMar w:left="440" w:top="274" w:right="479" w:bottom="1440" w:gutter="0" w:footer="0" w:header="0"/>
          <w:type w:val="continuous"/>
        </w:sectPr>
      </w:pPr>
    </w:p>
    <w:bookmarkStart w:id="252" w:name="page253"/>
    <w:bookmarkEnd w:id="252"/>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10180" w:type="dxa"/>
            <w:vAlign w:val="bottom"/>
            <w:gridSpan w:val="3"/>
          </w:tcPr>
          <w:p>
            <w:pPr>
              <w:jc w:val="center"/>
              <w:ind w:left="430"/>
              <w:spacing w:after="0"/>
              <w:rPr>
                <w:sz w:val="20"/>
                <w:szCs w:val="20"/>
                <w:color w:val="auto"/>
              </w:rPr>
            </w:pPr>
            <w:r>
              <w:rPr>
                <w:rFonts w:ascii="Arial" w:cs="Arial" w:eastAsia="Arial" w:hAnsi="Arial"/>
                <w:sz w:val="18"/>
                <w:szCs w:val="18"/>
                <w:color w:val="auto"/>
                <w:w w:val="95"/>
              </w:rPr>
              <w:t>SCHEDULE C-1</w:t>
            </w:r>
          </w:p>
        </w:tc>
      </w:tr>
      <w:tr>
        <w:trPr>
          <w:trHeight w:val="391"/>
        </w:trPr>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340" w:type="dxa"/>
            <w:vAlign w:val="bottom"/>
            <w:gridSpan w:val="2"/>
          </w:tcPr>
          <w:p>
            <w:pPr>
              <w:jc w:val="center"/>
              <w:ind w:right="4320"/>
              <w:spacing w:after="0"/>
              <w:rPr>
                <w:sz w:val="20"/>
                <w:szCs w:val="20"/>
                <w:color w:val="auto"/>
              </w:rPr>
            </w:pPr>
            <w:r>
              <w:rPr>
                <w:rFonts w:ascii="Arial" w:cs="Arial" w:eastAsia="Arial" w:hAnsi="Arial"/>
                <w:sz w:val="18"/>
                <w:szCs w:val="18"/>
                <w:color w:val="auto"/>
                <w:w w:val="91"/>
              </w:rPr>
              <w:t>Pricing Terms</w:t>
            </w:r>
          </w:p>
        </w:tc>
      </w:tr>
      <w:tr>
        <w:trPr>
          <w:trHeight w:val="20"/>
        </w:trPr>
        <w:tc>
          <w:tcPr>
            <w:tcW w:w="1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53"/>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The Selling Shareholders are selling [   ] shares of Common Stock.</w:t>
            </w:r>
          </w:p>
        </w:tc>
      </w:tr>
      <w:tr>
        <w:trPr>
          <w:trHeight w:val="310"/>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w w:val="91"/>
              </w:rPr>
              <w:t>The Selling Shareholders have granted an option to the Underwriters, severally and not jointly, to purchase up to an additional [   ] shares of</w:t>
            </w:r>
          </w:p>
        </w:tc>
      </w:tr>
      <w:tr>
        <w:trPr>
          <w:trHeight w:val="230"/>
        </w:trPr>
        <w:tc>
          <w:tcPr>
            <w:tcW w:w="10340" w:type="dxa"/>
            <w:vAlign w:val="bottom"/>
            <w:gridSpan w:val="4"/>
          </w:tcPr>
          <w:p>
            <w:pPr>
              <w:spacing w:after="0"/>
              <w:rPr>
                <w:sz w:val="20"/>
                <w:szCs w:val="20"/>
                <w:color w:val="auto"/>
              </w:rPr>
            </w:pPr>
            <w:r>
              <w:rPr>
                <w:rFonts w:ascii="Arial" w:cs="Arial" w:eastAsia="Arial" w:hAnsi="Arial"/>
                <w:sz w:val="18"/>
                <w:szCs w:val="18"/>
                <w:color w:val="auto"/>
              </w:rPr>
              <w:t>Common Stock.</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The public offering price per share for the Securities shall be $[   ].</w:t>
            </w:r>
          </w:p>
        </w:tc>
      </w:tr>
      <w:tr>
        <w:trPr>
          <w:trHeight w:val="365"/>
        </w:trPr>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340" w:type="dxa"/>
            <w:vAlign w:val="bottom"/>
            <w:gridSpan w:val="2"/>
          </w:tcPr>
          <w:p>
            <w:pPr>
              <w:jc w:val="center"/>
              <w:ind w:right="4340"/>
              <w:spacing w:after="0"/>
              <w:rPr>
                <w:sz w:val="20"/>
                <w:szCs w:val="20"/>
                <w:color w:val="auto"/>
              </w:rPr>
            </w:pPr>
            <w:r>
              <w:rPr>
                <w:rFonts w:ascii="Arial" w:cs="Arial" w:eastAsia="Arial" w:hAnsi="Arial"/>
                <w:sz w:val="18"/>
                <w:szCs w:val="18"/>
                <w:color w:val="auto"/>
                <w:w w:val="90"/>
              </w:rPr>
              <w:t>Sch C - 1</w:t>
            </w:r>
          </w:p>
        </w:tc>
      </w:tr>
    </w:tbl>
    <w:p>
      <w:pPr>
        <w:jc w:val="center"/>
        <w:ind w:right="4340"/>
        <w:spacing w:after="0"/>
        <w:rPr>
          <w:sz w:val="20"/>
          <w:szCs w:val="20"/>
          <w:color w:val="auto"/>
        </w:rPr>
        <w:sectPr>
          <w:pgSz w:w="11900" w:h="16838" w:orient="portrait"/>
          <w:cols w:equalWidth="0" w:num="1">
            <w:col w:w="10340"/>
          </w:cols>
          <w:pgMar w:left="440" w:top="274" w:right="11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53" w:name="page254"/>
    <w:bookmarkEnd w:id="25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C-2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Free Writing Prospectuses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C - 2</w:t>
      </w:r>
    </w:p>
    <w:p>
      <w:pPr>
        <w:sectPr>
          <w:pgSz w:w="11900" w:h="16838" w:orient="portrait"/>
          <w:cols w:equalWidth="0" w:num="1">
            <w:col w:w="9019"/>
          </w:cols>
          <w:pgMar w:left="1440" w:top="274" w:right="1440" w:bottom="1440" w:gutter="0" w:footer="0" w:header="0"/>
        </w:sectPr>
      </w:pPr>
    </w:p>
    <w:bookmarkStart w:id="254" w:name="page255"/>
    <w:bookmarkEnd w:id="254"/>
    <w:p>
      <w:pPr>
        <w:jc w:val="center"/>
        <w:ind w:righ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D</w:t>
      </w:r>
    </w:p>
    <w:p>
      <w:pPr>
        <w:spacing w:after="0" w:line="225" w:lineRule="exact"/>
        <w:rPr>
          <w:sz w:val="20"/>
          <w:szCs w:val="20"/>
          <w:color w:val="auto"/>
        </w:rPr>
      </w:pPr>
    </w:p>
    <w:p>
      <w:pPr>
        <w:jc w:val="right"/>
        <w:ind w:right="3479"/>
        <w:spacing w:after="0"/>
        <w:rPr>
          <w:sz w:val="20"/>
          <w:szCs w:val="20"/>
          <w:color w:val="auto"/>
        </w:rPr>
      </w:pPr>
      <w:r>
        <w:rPr>
          <w:rFonts w:ascii="Arial" w:cs="Arial" w:eastAsia="Arial" w:hAnsi="Arial"/>
          <w:sz w:val="18"/>
          <w:szCs w:val="18"/>
          <w:u w:val="single" w:color="auto"/>
          <w:color w:val="auto"/>
        </w:rPr>
        <w:t>Testing-the-Waters Materials</w:t>
      </w:r>
    </w:p>
    <w:p>
      <w:pPr>
        <w:spacing w:after="0" w:line="225" w:lineRule="exact"/>
        <w:rPr>
          <w:sz w:val="20"/>
          <w:szCs w:val="20"/>
          <w:color w:val="auto"/>
        </w:rPr>
      </w:pPr>
    </w:p>
    <w:p>
      <w:pPr>
        <w:ind w:left="464" w:hanging="464"/>
        <w:spacing w:after="0"/>
        <w:tabs>
          <w:tab w:leader="none" w:pos="46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ind w:left="5284"/>
        <w:spacing w:after="0"/>
        <w:rPr>
          <w:sz w:val="20"/>
          <w:szCs w:val="20"/>
          <w:color w:val="auto"/>
        </w:rPr>
      </w:pPr>
      <w:r>
        <w:rPr>
          <w:rFonts w:ascii="Arial" w:cs="Arial" w:eastAsia="Arial" w:hAnsi="Arial"/>
          <w:sz w:val="18"/>
          <w:szCs w:val="18"/>
          <w:color w:val="auto"/>
        </w:rPr>
        <w:t>Sch D</w:t>
      </w:r>
    </w:p>
    <w:p>
      <w:pPr>
        <w:sectPr>
          <w:pgSz w:w="11900" w:h="16838" w:orient="portrait"/>
          <w:cols w:equalWidth="0" w:num="1">
            <w:col w:w="10023"/>
          </w:cols>
          <w:pgMar w:left="436" w:top="274" w:right="1440"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Lock-up Agreement</w:t>
      </w:r>
    </w:p>
    <w:p>
      <w:pPr>
        <w:spacing w:after="0" w:line="225"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___________,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to be named in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within-mentioned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Proposed Public Offering by nCino,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40" w:firstLine="440"/>
        <w:spacing w:after="0" w:line="285" w:lineRule="auto"/>
        <w:rPr>
          <w:sz w:val="20"/>
          <w:szCs w:val="20"/>
          <w:color w:val="auto"/>
        </w:rPr>
      </w:pPr>
      <w:r>
        <w:rPr>
          <w:rFonts w:ascii="Arial" w:cs="Arial" w:eastAsia="Arial" w:hAnsi="Arial"/>
          <w:sz w:val="16"/>
          <w:szCs w:val="16"/>
          <w:color w:val="auto"/>
        </w:rPr>
        <w:t>The undersigned, a stockholder and/or an officer and/or director of nCino, Inc., a Delaware corporation (the “Company”), understands that BofA Securities, Inc. (“BofAS”) and Barclays Capital Inc. (“Barclays” and together with BofAS, the “Representatives”) propose to enter into an Underwriting Agreement (the “Underwriting Agreement”) with the Company providing for the public offering (the “Offering”) of shares of the Company’s common stock, par value $0.0005 per share (the “Common Stock”). In recognition of the benefit that such an offering will confer upon the undersigned as a stockholder and/or an officer and/or director, as applicable,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90 days from the date of the Underwriting Agreement (the “Lock-Up Period”), the undersigned will not, 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the Company’s Common Stock or any securities convertible into or exercisable or exchangeable for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Notwithstanding anything contained herein to the contrary, if the undersigned is an officer or director of the Company, the undersigned further agrees that the foregoing provisions shall be equally applicable to any issuer-directed Common Stock the undersigned may purchase in the Offering, if applicable.</w:t>
      </w:r>
    </w:p>
    <w:p>
      <w:pPr>
        <w:sectPr>
          <w:pgSz w:w="11900" w:h="16838" w:orient="portrait"/>
          <w:cols w:equalWidth="0" w:num="1">
            <w:col w:w="11020"/>
          </w:cols>
          <w:pgMar w:left="440" w:top="274" w:right="439" w:bottom="1440" w:gutter="0" w:footer="0" w:header="0"/>
        </w:sectPr>
      </w:pPr>
    </w:p>
    <w:bookmarkStart w:id="256" w:name="page257"/>
    <w:bookmarkEnd w:id="256"/>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and subject to the applicable conditions below, the undersigned may transfer the Lock-Up Securities without the prior written consent of the Representatives:</w:t>
      </w:r>
    </w:p>
    <w:p>
      <w:pPr>
        <w:spacing w:after="0" w:line="62" w:lineRule="exact"/>
        <w:rPr>
          <w:sz w:val="20"/>
          <w:szCs w:val="20"/>
          <w:color w:val="auto"/>
        </w:rPr>
      </w:pPr>
    </w:p>
    <w:p>
      <w:pPr>
        <w:ind w:left="440" w:right="40" w:firstLine="419"/>
        <w:spacing w:after="0" w:line="257" w:lineRule="auto"/>
        <w:tabs>
          <w:tab w:leader="none" w:pos="110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provided that (1) the Representatives receive(s) a signed lock-up agreement for the balance of the Lock-Up Period from each donee, trustee, distributee, or transferee, as the case may be, (2) any such transfer shall not involve a disposition for value, (3) any such transfer is not required to be reported with the Securities and Exchange Commission on Form 4 in accordance with Section 16 of the Securities Exchange Act of 1934, as amended (the “Exchange Act”), and (4) the undersigned does not otherwise voluntarily effect any public filing or report regarding such transfers during the Lock-Up Period:</w:t>
      </w:r>
    </w:p>
    <w:p>
      <w:pPr>
        <w:spacing w:after="0" w:line="93" w:lineRule="exact"/>
        <w:rPr>
          <w:rFonts w:ascii="Arial" w:cs="Arial" w:eastAsia="Arial" w:hAnsi="Arial"/>
          <w:sz w:val="18"/>
          <w:szCs w:val="18"/>
          <w:color w:val="auto"/>
        </w:rPr>
      </w:pPr>
    </w:p>
    <w:p>
      <w:pPr>
        <w:ind w:left="1960" w:hanging="533"/>
        <w:spacing w:after="0"/>
        <w:tabs>
          <w:tab w:leader="none" w:pos="19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or for bona fide estate purposes;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by will or intestate succession upon the death of the undersigned, including to the transferee’s nominee or custodian; or</w:t>
      </w:r>
    </w:p>
    <w:p>
      <w:pPr>
        <w:spacing w:after="0" w:line="142" w:lineRule="exact"/>
        <w:rPr>
          <w:rFonts w:ascii="Arial" w:cs="Arial" w:eastAsia="Arial" w:hAnsi="Arial"/>
          <w:sz w:val="17"/>
          <w:szCs w:val="17"/>
          <w:color w:val="auto"/>
        </w:rPr>
      </w:pPr>
    </w:p>
    <w:p>
      <w:pPr>
        <w:ind w:left="1960" w:right="100" w:hanging="533"/>
        <w:spacing w:after="0" w:line="259" w:lineRule="auto"/>
        <w:tabs>
          <w:tab w:leader="none" w:pos="19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any trust or other similar entity for the direct or indirect benefit of the undersigned or the immediate family of the undersigned (for purposes of this lock-up agreement, “immediate family” shall mean any relationship by blood, marriage or adoption, not more remote than first cousin) or if the undersigned is a trust, to any beneficiary of the undersigned (including such beneficiary’s estate); or</w:t>
      </w:r>
    </w:p>
    <w:p>
      <w:pPr>
        <w:spacing w:after="0" w:line="92" w:lineRule="exact"/>
        <w:rPr>
          <w:rFonts w:ascii="Arial" w:cs="Arial" w:eastAsia="Arial" w:hAnsi="Arial"/>
          <w:sz w:val="18"/>
          <w:szCs w:val="18"/>
          <w:color w:val="auto"/>
        </w:rPr>
      </w:pPr>
    </w:p>
    <w:p>
      <w:pPr>
        <w:ind w:left="1960" w:right="560" w:hanging="533"/>
        <w:spacing w:after="0" w:line="277" w:lineRule="auto"/>
        <w:tabs>
          <w:tab w:leader="none" w:pos="19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as a distribution to limited partners, general partners, limited liability company members, stockholders or other equity holders of the undersigned; or</w:t>
      </w:r>
    </w:p>
    <w:p>
      <w:pPr>
        <w:spacing w:after="0" w:line="75" w:lineRule="exact"/>
        <w:rPr>
          <w:rFonts w:ascii="Arial" w:cs="Arial" w:eastAsia="Arial" w:hAnsi="Arial"/>
          <w:sz w:val="18"/>
          <w:szCs w:val="18"/>
          <w:color w:val="auto"/>
        </w:rPr>
      </w:pPr>
    </w:p>
    <w:p>
      <w:pPr>
        <w:ind w:left="1960" w:right="160" w:hanging="533"/>
        <w:spacing w:after="0" w:line="277" w:lineRule="auto"/>
        <w:tabs>
          <w:tab w:leader="none" w:pos="19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the undersigned’s affiliates or to any investment fund or other entity controlled or managed by, or under common control or management with, the undersigned;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the underwriters in the Offering; or</w:t>
      </w:r>
    </w:p>
    <w:p>
      <w:pPr>
        <w:spacing w:after="0" w:line="117" w:lineRule="exact"/>
        <w:rPr>
          <w:rFonts w:ascii="Arial" w:cs="Arial" w:eastAsia="Arial" w:hAnsi="Arial"/>
          <w:sz w:val="18"/>
          <w:szCs w:val="18"/>
          <w:color w:val="auto"/>
        </w:rPr>
      </w:pPr>
    </w:p>
    <w:p>
      <w:pPr>
        <w:ind w:left="440" w:right="220" w:firstLine="419"/>
        <w:spacing w:after="0" w:line="296" w:lineRule="auto"/>
        <w:tabs>
          <w:tab w:leader="none" w:pos="110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the Company upon exercise of any right in respect of any option granted under any incentive plan of the Company described in the final prospectus relating to the Offering or any warrant to purchase securities of the Company described in the final prospectus relating to the Offering including the surrender of shares of Common Stock to the Company in “net” or “cashless” exercise of any option or warrant; provided that (i) the shares of Common Stock received by the undersigned upon exercise continue to be subject to the restrictions on transfer set forth in this lock-up agreement, and (ii) no filings are required or made pursuant to Section 16 of the Exchange Act during the Lock-Up Period; or</w:t>
      </w:r>
    </w:p>
    <w:p>
      <w:pPr>
        <w:spacing w:after="0" w:line="53" w:lineRule="exact"/>
        <w:rPr>
          <w:rFonts w:ascii="Arial" w:cs="Arial" w:eastAsia="Arial" w:hAnsi="Arial"/>
          <w:sz w:val="16"/>
          <w:szCs w:val="16"/>
          <w:color w:val="auto"/>
        </w:rPr>
      </w:pPr>
    </w:p>
    <w:p>
      <w:pPr>
        <w:jc w:val="both"/>
        <w:ind w:left="440" w:firstLine="419"/>
        <w:spacing w:after="0" w:line="286" w:lineRule="auto"/>
        <w:tabs>
          <w:tab w:leader="none" w:pos="111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convert shares of preferred stock of the Company into shares of Common Stock of the Company, provided that any shares of Common Stock received upon such conversion remain subject to the terms of this lock-up agreement, provided that any filings required to be made pursuant to Section 16 of the Exchange Act will indicate by footnote disclosure or otherwise the nature of the transaction; or</w:t>
      </w:r>
    </w:p>
    <w:p>
      <w:pPr>
        <w:spacing w:after="0" w:line="57" w:lineRule="exact"/>
        <w:rPr>
          <w:rFonts w:ascii="Arial" w:cs="Arial" w:eastAsia="Arial" w:hAnsi="Arial"/>
          <w:sz w:val="17"/>
          <w:szCs w:val="17"/>
          <w:color w:val="auto"/>
        </w:rPr>
      </w:pPr>
    </w:p>
    <w:p>
      <w:pPr>
        <w:jc w:val="both"/>
        <w:ind w:left="440" w:right="180" w:firstLine="419"/>
        <w:spacing w:after="0" w:line="279" w:lineRule="auto"/>
        <w:tabs>
          <w:tab w:leader="none" w:pos="110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pursuant to a bona fide third-party tender offer, merger, consolidation or other similar transaction approved or recommended by the Company’s board of directors, made to all holders of Lock-Up Securities involving a Change of Control (as defined below) of the Company, provided that in the event that such tender offer, merger, consolidation or other such transaction is not completed, the Lock-Up Securities owned by the undersigned shall remain subject to the provisions of this lock-up agreement; or</w:t>
      </w:r>
    </w:p>
    <w:p>
      <w:pPr>
        <w:spacing w:after="0" w:line="63" w:lineRule="exact"/>
        <w:rPr>
          <w:rFonts w:ascii="Arial" w:cs="Arial" w:eastAsia="Arial" w:hAnsi="Arial"/>
          <w:sz w:val="17"/>
          <w:szCs w:val="17"/>
          <w:color w:val="auto"/>
        </w:rPr>
      </w:pPr>
    </w:p>
    <w:p>
      <w:pPr>
        <w:ind w:left="440" w:right="100" w:firstLine="419"/>
        <w:spacing w:after="0" w:line="259" w:lineRule="auto"/>
        <w:tabs>
          <w:tab w:leader="none" w:pos="108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pursuant to an order of a court of competent jurisdiction in connection with a divorce settlement, provided that the undersigned shall use its commercially reasonable efforts to cause the transferee to agree in writing to be bound by the terms of this lock-up agreement prior to such transfer, provided further that any filings required to be made pursuant to Section 16 of the Exchange Act will indicate by footnote disclosure or otherwise the nature of the transaction.</w:t>
      </w:r>
    </w:p>
    <w:p>
      <w:pPr>
        <w:sectPr>
          <w:pgSz w:w="11900" w:h="16838" w:orient="portrait"/>
          <w:cols w:equalWidth="0" w:num="1">
            <w:col w:w="11000"/>
          </w:cols>
          <w:pgMar w:left="440" w:top="274" w:right="459" w:bottom="1440" w:gutter="0" w:footer="0" w:header="0"/>
        </w:sectPr>
      </w:pPr>
    </w:p>
    <w:bookmarkStart w:id="257" w:name="page258"/>
    <w:bookmarkEnd w:id="257"/>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clause (e) above, “Change of Control” shall mean the consummation of any bona fide third party tender offer, merger, consolidation or other similar transaction the result of which is that any “person” (as defined in Section 13(d)(3) of the Exchange Act), or group of persons, becomes the beneficial owner (as defined in Rules 13d-3 and 13d-5 of the Exchange Act) of more than 50% of total voting power of the voting stock of the Company.</w:t>
      </w:r>
    </w:p>
    <w:p>
      <w:pPr>
        <w:spacing w:after="0" w:line="18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Furthermore, during the Lock-Up Period, the undersigned may sell shares of Common Stock of the Company purchased by the undersigned in the Offering or in open market transactions following the Offering if and only if (i) such sales are not required to be reported in any public report or filing with the Securities and Exchange Commission, or otherwise and (ii) the undersigned does not otherwise voluntarily effect any public filing or report regarding such sales during the Lock-Up Period.</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Nothing herein shall prevent the undersigned from establishing a 10b5-1 trading plan that complies with Rule 10b5-1 under the Exchange Act (“10b5-1 trading plan”) so long as there are no sales of Lock-Up Securities under such plans during the Lock-Up Period; and provided that the establishment of a 10b5-1 trading plan or the amendment of a 10b5-1 trading plan shall only be permitted if (i) the establishment of such plan is not required to be reported in any public report or filing with the SEC, or otherwise and (ii) the undersigned does not otherwise voluntarily effect any public filing or report regarding the establishment of such plan during the Lock-Up Period.</w:t>
      </w:r>
    </w:p>
    <w:p>
      <w:pPr>
        <w:spacing w:after="0" w:line="18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70"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Notwithstanding anything to the contrary contained herein, this lock-up agreement will automatically terminate and the undersigned will be released from all of his, her or its obligations hereunder upon the earliest to occur, if any, of (i) the date the Company, on the one hand, or the Representatives, on the other hand, advises the other in writing that it has determined not to proceed with the Offering, (ii) the date the Company files an application with the Securities and Exchange Commission to withdraw the registration statement related to the Offering, (iii) the date the Underwriting Agreement is terminated prior to payment for and delivery of the shares of Common Stock to be sold thereunder or (iv) November 15, 2020, in the event that the Underwriting Agreement has not been executed by such date (provided, that the Company may by written notice to the undersigned prior to such date extend such date to December 15, 2020).</w:t>
      </w:r>
    </w:p>
    <w:p>
      <w:pPr>
        <w:spacing w:after="0" w:line="19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This lock-up agreement and any claim, controversy or dispute arising under or related to this lock-up agreement shall be governed by, and construed in accordance with the laws of, the State of New York without regard to its choice of law provisions.</w:t>
      </w:r>
    </w:p>
    <w:p>
      <w:pPr>
        <w:sectPr>
          <w:pgSz w:w="11900" w:h="16838" w:orient="portrait"/>
          <w:cols w:equalWidth="0" w:num="1">
            <w:col w:w="11000"/>
          </w:cols>
          <w:pgMar w:left="440" w:top="274" w:right="459" w:bottom="1440" w:gutter="0" w:footer="0" w:header="0"/>
        </w:sectPr>
      </w:pPr>
    </w:p>
    <w:bookmarkStart w:id="258" w:name="page259"/>
    <w:bookmarkEnd w:id="258"/>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14605</wp:posOffset>
            </wp:positionV>
            <wp:extent cx="22288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14605</wp:posOffset>
            </wp:positionV>
            <wp:extent cx="21170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787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1045845" cy="283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1045845" cy="28321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+1 212 839 5300</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+1 212 839 5599 FAX</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AMERICA • ASIA PACIFIC • EUROPE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nCino,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6770 Parker Farm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NC 28405</w:t>
      </w:r>
    </w:p>
    <w:p>
      <w:pPr>
        <w:spacing w:after="0" w:line="238"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6,325,000 Shares of Common Stock, $0.0005 par value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refer to the Registration Statement on Form S-1 filed by nCino,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with the Securities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to which this opinion is an exhibit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relates to the registration under the Securities Act of 6,325,000 shares of the Company’s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$0.0005 par value per share (the “</w:t>
      </w:r>
      <w:r>
        <w:rPr>
          <w:rFonts w:ascii="Arial" w:cs="Arial" w:eastAsia="Arial" w:hAnsi="Arial"/>
          <w:sz w:val="16"/>
          <w:szCs w:val="16"/>
          <w:u w:val="single" w:color="auto"/>
          <w:color w:val="auto"/>
        </w:rPr>
        <w:t>Secondary Shares</w:t>
      </w:r>
      <w:r>
        <w:rPr>
          <w:rFonts w:ascii="Arial" w:cs="Arial" w:eastAsia="Arial" w:hAnsi="Arial"/>
          <w:sz w:val="16"/>
          <w:szCs w:val="16"/>
          <w:color w:val="auto"/>
        </w:rPr>
        <w:t>”) (including an aggregate of 825,000 Secondary Shares that may be sold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of the underwriters’ option to purchase shares to cover overallotments under the Underwriting Agreement (as defined below)) to be offered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sold by the selling stockholders named in the Registration Statement. The Secondary Shares are to be sold pursuant to an underwriting agreement among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the selling stockholders named therein and the Underwriters named therein, the form of which has been filed as Exhibit 1.1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opinion letter is being delivered in accordance with the requirements of Item 601(b)(5) of Regulation S-K under the Securities Act.</w:t>
      </w:r>
    </w:p>
    <w:p>
      <w:pPr>
        <w:spacing w:after="0" w:line="248" w:lineRule="exact"/>
        <w:rPr>
          <w:sz w:val="20"/>
          <w:szCs w:val="20"/>
          <w:color w:val="auto"/>
        </w:rPr>
      </w:pPr>
    </w:p>
    <w:p>
      <w:pPr>
        <w:ind w:right="160" w:firstLine="991"/>
        <w:spacing w:after="0" w:line="271" w:lineRule="auto"/>
        <w:rPr>
          <w:sz w:val="20"/>
          <w:szCs w:val="20"/>
          <w:color w:val="auto"/>
        </w:rPr>
      </w:pPr>
      <w:r>
        <w:rPr>
          <w:rFonts w:ascii="Arial" w:cs="Arial" w:eastAsia="Arial" w:hAnsi="Arial"/>
          <w:sz w:val="17"/>
          <w:szCs w:val="17"/>
          <w:color w:val="auto"/>
        </w:rPr>
        <w:t>We have examined the Registration Statement, the Company’s certificate of incorporation and the resolutions adopted by the board of directors of the Company relating to the Registration Statement.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Sidley Austin (NY) LLP is a Delaware limited liability partnership doing business as Sidley Austin LLP and practicing in affiliation with other Sidley Austin partnerships.</w:t>
      </w:r>
    </w:p>
    <w:p>
      <w:pPr>
        <w:sectPr>
          <w:pgSz w:w="11900" w:h="16838" w:orient="portrait"/>
          <w:cols w:equalWidth="0" w:num="1">
            <w:col w:w="11020"/>
          </w:cols>
          <w:pgMar w:left="440" w:top="121" w:right="4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283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83210"/>
                    </a:xfrm>
                    <a:prstGeom prst="rect">
                      <a:avLst/>
                    </a:prstGeom>
                    <a:noFill/>
                  </pic:spPr>
                </pic:pic>
              </a:graphicData>
            </a:graphic>
          </wp:anchor>
        </w:drawing>
        <w:t>nCino,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5,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Based on the foregoing, we are of the opinion that the Secondary Shares are validly issued, fully paid and non-assessable.</w:t>
      </w:r>
    </w:p>
    <w:p>
      <w:pPr>
        <w:spacing w:after="0" w:line="225"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84"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Sidley Austin LLP</w:t>
      </w:r>
    </w:p>
    <w:p>
      <w:pPr>
        <w:sectPr>
          <w:pgSz w:w="11900" w:h="16838" w:orient="portrait"/>
          <w:cols w:equalWidth="0" w:num="1">
            <w:col w:w="10920"/>
          </w:cols>
          <w:pgMar w:left="440" w:top="719" w:right="5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17, 2020, in the Registration Statement (Form S-1) and related Prospectus of nCino, Inc. dated October 5,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5,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1)"/>
      <w:numFmt w:val="decimal"/>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1)"/>
      <w:numFmt w:val="decimal"/>
      <w:start w:val="1"/>
    </w:lvl>
  </w:abstractNum>
  <w:abstractNum w:abstractNumId="11">
    <w:nsid w:val="60B6DF70"/>
    <w:multiLevelType w:val="hybridMultilevel"/>
    <w:lvl w:ilvl="0">
      <w:lvlJc w:val="left"/>
      <w:lvlText w:val="(%1)"/>
      <w:numFmt w:val="decimal"/>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1)"/>
      <w:numFmt w:val="decimal"/>
      <w:start w:val="2"/>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1)"/>
      <w:numFmt w:val="decimal"/>
      <w:start w:val="2"/>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1)"/>
      <w:numFmt w:val="decimal"/>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
      <w:numFmt w:val="bullet"/>
      <w:start w:val="1"/>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
      <w:numFmt w:val="bullet"/>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
      <w:numFmt w:val="bullet"/>
      <w:start w:val="1"/>
    </w:lvl>
  </w:abstractNum>
  <w:abstractNum w:abstractNumId="52">
    <w:nsid w:val="73A1821B"/>
    <w:multiLevelType w:val="hybridMultilevel"/>
    <w:lvl w:ilvl="0">
      <w:lvlJc w:val="left"/>
      <w:lvlText w:val="•"/>
      <w:numFmt w:val="bullet"/>
      <w:start w:val="1"/>
    </w:lvl>
  </w:abstractNum>
  <w:abstractNum w:abstractNumId="53">
    <w:nsid w:val="7DE67713"/>
    <w:multiLevelType w:val="hybridMultilevel"/>
    <w:lvl w:ilvl="0">
      <w:lvlJc w:val="left"/>
      <w:lvlText w:val="(%1)"/>
      <w:numFmt w:val="decimal"/>
      <w:start w:val="1"/>
    </w:lvl>
  </w:abstractNum>
  <w:abstractNum w:abstractNumId="54">
    <w:nsid w:val="555C55B5"/>
    <w:multiLevelType w:val="hybridMultilevel"/>
    <w:lvl w:ilvl="0">
      <w:lvlJc w:val="left"/>
      <w:lvlText w:val="+"/>
      <w:numFmt w:val="bullet"/>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
      <w:numFmt w:val="bullet"/>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
      <w:numFmt w:val="bullet"/>
      <w:start w:val="1"/>
    </w:lvl>
  </w:abstractNum>
  <w:abstractNum w:abstractNumId="59">
    <w:nsid w:val="9DAF632"/>
    <w:multiLevelType w:val="hybridMultilevel"/>
    <w:lvl w:ilvl="0">
      <w:lvlJc w:val="left"/>
      <w:lvlText w:val="•"/>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
      <w:numFmt w:val="bullet"/>
      <w:start w:val="1"/>
    </w:lvl>
    <w:lvl w:ilvl="1">
      <w:lvlJc w:val="left"/>
      <w:lvlText w:val="¡"/>
      <w:numFmt w:val="bullet"/>
      <w:start w:val="1"/>
    </w:lvl>
  </w:abstractNum>
  <w:abstractNum w:abstractNumId="62">
    <w:nsid w:val="5092CA79"/>
    <w:multiLevelType w:val="hybridMultilevel"/>
    <w:lvl w:ilvl="0">
      <w:lvlJc w:val="left"/>
      <w:lvlText w:val="(%1)"/>
      <w:numFmt w:val="decimal"/>
      <w:start w:val="1"/>
    </w:lvl>
  </w:abstractNum>
  <w:abstractNum w:abstractNumId="63">
    <w:nsid w:val="1D545C4D"/>
    <w:multiLevelType w:val="hybridMultilevel"/>
    <w:lvl w:ilvl="0">
      <w:lvlJc w:val="left"/>
      <w:lvlText w:val="•"/>
      <w:numFmt w:val="bullet"/>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1)"/>
      <w:numFmt w:val="decimal"/>
      <w:start w:val="1"/>
    </w:lvl>
  </w:abstractNum>
  <w:abstractNum w:abstractNumId="66">
    <w:nsid w:val="2A155DBC"/>
    <w:multiLevelType w:val="hybridMultilevel"/>
    <w:lvl w:ilvl="0">
      <w:lvlJc w:val="left"/>
      <w:lvlText w:val="(%1)"/>
      <w:numFmt w:val="decimal"/>
      <w:start w:val="3"/>
    </w:lvl>
  </w:abstractNum>
  <w:abstractNum w:abstractNumId="67">
    <w:nsid w:val="1D9F6E5F"/>
    <w:multiLevelType w:val="hybridMultilevel"/>
    <w:lvl w:ilvl="0">
      <w:lvlJc w:val="left"/>
      <w:lvlText w:val="(%1)"/>
      <w:numFmt w:val="decimal"/>
      <w:start w:val="4"/>
    </w:lvl>
  </w:abstractNum>
  <w:abstractNum w:abstractNumId="68">
    <w:nsid w:val="97E1B4E"/>
    <w:multiLevelType w:val="hybridMultilevel"/>
    <w:lvl w:ilvl="0">
      <w:lvlJc w:val="left"/>
      <w:lvlText w:val="(%1)"/>
      <w:numFmt w:val="decimal"/>
      <w:start w:val="1"/>
    </w:lvl>
  </w:abstractNum>
  <w:abstractNum w:abstractNumId="69">
    <w:nsid w:val="51088277"/>
    <w:multiLevelType w:val="hybridMultilevel"/>
    <w:lvl w:ilvl="0">
      <w:lvlJc w:val="left"/>
      <w:lvlText w:val="(%1)"/>
      <w:numFmt w:val="lowerRoman"/>
      <w:start w:val="1"/>
    </w:lvl>
  </w:abstractNum>
  <w:abstractNum w:abstractNumId="70">
    <w:nsid w:val="1CA0C5FA"/>
    <w:multiLevelType w:val="hybridMultilevel"/>
    <w:lvl w:ilvl="0">
      <w:lvlJc w:val="left"/>
      <w:lvlText w:val="(%1)"/>
      <w:numFmt w:val="lowerRoman"/>
      <w:start w:val="1"/>
    </w:lvl>
  </w:abstractNum>
  <w:abstractNum w:abstractNumId="71">
    <w:nsid w:val="53584BCB"/>
    <w:multiLevelType w:val="hybridMultilevel"/>
    <w:lvl w:ilvl="0">
      <w:lvlJc w:val="left"/>
      <w:lvlText w:val="•"/>
      <w:numFmt w:val="bullet"/>
      <w:start w:val="1"/>
    </w:lvl>
  </w:abstractNum>
  <w:abstractNum w:abstractNumId="72">
    <w:nsid w:val="415E286C"/>
    <w:multiLevelType w:val="hybridMultilevel"/>
    <w:lvl w:ilvl="0">
      <w:lvlJc w:val="left"/>
      <w:lvlText w:val="*"/>
      <w:numFmt w:val="bullet"/>
      <w:start w:val="1"/>
    </w:lvl>
  </w:abstractNum>
  <w:abstractNum w:abstractNumId="73">
    <w:nsid w:val="7C58FD05"/>
    <w:multiLevelType w:val="hybridMultilevel"/>
    <w:lvl w:ilvl="0">
      <w:lvlJc w:val="left"/>
      <w:lvlText w:val="(%1)"/>
      <w:numFmt w:val="decimal"/>
      <w:start w:val="1"/>
    </w:lvl>
  </w:abstractNum>
  <w:abstractNum w:abstractNumId="74">
    <w:nsid w:val="23D86AAC"/>
    <w:multiLevelType w:val="hybridMultilevel"/>
    <w:lvl w:ilvl="0">
      <w:lvlJc w:val="left"/>
      <w:lvlText w:val="(%1)"/>
      <w:numFmt w:val="decimal"/>
      <w:start w:val="7"/>
    </w:lvl>
  </w:abstractNum>
  <w:abstractNum w:abstractNumId="75">
    <w:nsid w:val="45E6D486"/>
    <w:multiLevelType w:val="hybridMultilevel"/>
    <w:lvl w:ilvl="0">
      <w:lvlJc w:val="left"/>
      <w:lvlText w:val="(%1)"/>
      <w:numFmt w:val="decimal"/>
      <w:start w:val="14"/>
    </w:lvl>
  </w:abstractNum>
  <w:abstractNum w:abstractNumId="76">
    <w:nsid w:val="5C10FE21"/>
    <w:multiLevelType w:val="hybridMultilevel"/>
    <w:lvl w:ilvl="0">
      <w:lvlJc w:val="left"/>
      <w:lvlText w:val="•"/>
      <w:numFmt w:val="bullet"/>
      <w:start w:val="1"/>
    </w:lvl>
  </w:abstractNum>
  <w:abstractNum w:abstractNumId="77">
    <w:nsid w:val="E7FFA2B"/>
    <w:multiLevelType w:val="hybridMultilevel"/>
    <w:lvl w:ilvl="0">
      <w:lvlJc w:val="left"/>
      <w:lvlText w:val="•"/>
      <w:numFmt w:val="bullet"/>
      <w:start w:val="1"/>
    </w:lvl>
  </w:abstractNum>
  <w:abstractNum w:abstractNumId="78">
    <w:nsid w:val="3C5991AA"/>
    <w:multiLevelType w:val="hybridMultilevel"/>
    <w:lvl w:ilvl="0">
      <w:lvlJc w:val="left"/>
      <w:lvlText w:val="•"/>
      <w:numFmt w:val="bullet"/>
      <w:start w:val="1"/>
    </w:lvl>
  </w:abstractNum>
  <w:abstractNum w:abstractNumId="79">
    <w:nsid w:val="4BD8591A"/>
    <w:multiLevelType w:val="hybridMultilevel"/>
    <w:lvl w:ilvl="0">
      <w:lvlJc w:val="left"/>
      <w:lvlText w:val="•"/>
      <w:numFmt w:val="bullet"/>
      <w:start w:val="1"/>
    </w:lvl>
  </w:abstractNum>
  <w:abstractNum w:abstractNumId="80">
    <w:nsid w:val="78DF6A55"/>
    <w:multiLevelType w:val="hybridMultilevel"/>
    <w:lvl w:ilvl="0">
      <w:lvlJc w:val="left"/>
      <w:lvlText w:val="•"/>
      <w:numFmt w:val="bullet"/>
      <w:start w:val="1"/>
    </w:lvl>
  </w:abstractNum>
  <w:abstractNum w:abstractNumId="81">
    <w:nsid w:val="39B7AAA2"/>
    <w:multiLevelType w:val="hybridMultilevel"/>
    <w:lvl w:ilvl="0">
      <w:lvlJc w:val="left"/>
      <w:lvlText w:val="•"/>
      <w:numFmt w:val="bullet"/>
      <w:start w:val="1"/>
    </w:lvl>
  </w:abstractNum>
  <w:abstractNum w:abstractNumId="82">
    <w:nsid w:val="2B0D8DBE"/>
    <w:multiLevelType w:val="hybridMultilevel"/>
    <w:lvl w:ilvl="0">
      <w:lvlJc w:val="left"/>
      <w:lvlText w:val="•"/>
      <w:numFmt w:val="bullet"/>
      <w:start w:val="1"/>
    </w:lvl>
  </w:abstractNum>
  <w:abstractNum w:abstractNumId="83">
    <w:nsid w:val="6C80EC70"/>
    <w:multiLevelType w:val="hybridMultilevel"/>
    <w:lvl w:ilvl="0">
      <w:lvlJc w:val="left"/>
      <w:lvlText w:val="•"/>
      <w:numFmt w:val="bullet"/>
      <w:start w:val="1"/>
    </w:lvl>
  </w:abstractNum>
  <w:abstractNum w:abstractNumId="84">
    <w:nsid w:val="379E21B5"/>
    <w:multiLevelType w:val="hybridMultilevel"/>
    <w:lvl w:ilvl="0">
      <w:lvlJc w:val="left"/>
      <w:lvlText w:val="(%1)"/>
      <w:numFmt w:val="lowerLetter"/>
      <w:start w:val="1"/>
    </w:lvl>
  </w:abstractNum>
  <w:abstractNum w:abstractNumId="85">
    <w:nsid w:val="69E373"/>
    <w:multiLevelType w:val="hybridMultilevel"/>
    <w:lvl w:ilvl="0">
      <w:lvlJc w:val="left"/>
      <w:lvlText w:val="(%1)"/>
      <w:numFmt w:val="lowerLetter"/>
      <w:start w:val="1"/>
    </w:lvl>
  </w:abstractNum>
  <w:abstractNum w:abstractNumId="86">
    <w:nsid w:val="2C27173B"/>
    <w:multiLevelType w:val="hybridMultilevel"/>
    <w:lvl w:ilvl="0">
      <w:lvlJc w:val="left"/>
      <w:lvlText w:val="(%1)"/>
      <w:numFmt w:val="lowerLetter"/>
      <w:start w:val="2"/>
    </w:lvl>
  </w:abstractNum>
  <w:abstractNum w:abstractNumId="87">
    <w:nsid w:val="4C9B0904"/>
    <w:multiLevelType w:val="hybridMultilevel"/>
    <w:lvl w:ilvl="0">
      <w:lvlJc w:val="left"/>
      <w:lvlText w:val="(%1)"/>
      <w:numFmt w:val="lowerLetter"/>
      <w:start w:val="1"/>
    </w:lvl>
  </w:abstractNum>
  <w:abstractNum w:abstractNumId="88">
    <w:nsid w:val="6AA7B75C"/>
    <w:multiLevelType w:val="hybridMultilevel"/>
    <w:lvl w:ilvl="0">
      <w:lvlJc w:val="left"/>
      <w:lvlText w:val="K.%1."/>
      <w:numFmt w:val="upperLetter"/>
      <w:start w:val="11"/>
    </w:lvl>
  </w:abstractNum>
  <w:abstractNum w:abstractNumId="89">
    <w:nsid w:val="1DF029D3"/>
    <w:multiLevelType w:val="hybridMultilevel"/>
    <w:lvl w:ilvl="0">
      <w:lvlJc w:val="left"/>
      <w:lvlText w:val="•"/>
      <w:numFmt w:val="bullet"/>
      <w:start w:val="1"/>
    </w:lvl>
  </w:abstractNum>
  <w:abstractNum w:abstractNumId="90">
    <w:nsid w:val="5675FF36"/>
    <w:multiLevelType w:val="hybridMultilevel"/>
    <w:lvl w:ilvl="0">
      <w:lvlJc w:val="left"/>
      <w:lvlText w:val="(%1)"/>
      <w:numFmt w:val="decimal"/>
      <w:start w:val="1"/>
    </w:lvl>
  </w:abstractNum>
  <w:abstractNum w:abstractNumId="91">
    <w:nsid w:val="3DD15094"/>
    <w:multiLevelType w:val="hybridMultilevel"/>
    <w:lvl w:ilvl="0">
      <w:lvlJc w:val="left"/>
      <w:lvlText w:val="•"/>
      <w:numFmt w:val="bullet"/>
      <w:start w:val="1"/>
    </w:lvl>
  </w:abstractNum>
  <w:abstractNum w:abstractNumId="92">
    <w:nsid w:val="3DB012B3"/>
    <w:multiLevelType w:val="hybridMultilevel"/>
    <w:lvl w:ilvl="0">
      <w:lvlJc w:val="left"/>
      <w:lvlText w:val="•"/>
      <w:numFmt w:val="bullet"/>
      <w:start w:val="1"/>
    </w:lvl>
  </w:abstractNum>
  <w:abstractNum w:abstractNumId="93">
    <w:nsid w:val="2708C9AF"/>
    <w:multiLevelType w:val="hybridMultilevel"/>
    <w:lvl w:ilvl="0">
      <w:lvlJc w:val="left"/>
      <w:lvlText w:val="K.%1."/>
      <w:numFmt w:val="upperLetter"/>
      <w:start w:val="11"/>
    </w:lvl>
  </w:abstractNum>
  <w:abstractNum w:abstractNumId="94">
    <w:nsid w:val="5B25ACE2"/>
    <w:multiLevelType w:val="hybridMultilevel"/>
    <w:lvl w:ilvl="0">
      <w:lvlJc w:val="left"/>
      <w:lvlText w:val="•"/>
      <w:numFmt w:val="bullet"/>
      <w:start w:val="1"/>
    </w:lvl>
  </w:abstractNum>
  <w:abstractNum w:abstractNumId="95">
    <w:nsid w:val="175DFCF0"/>
    <w:multiLevelType w:val="hybridMultilevel"/>
    <w:lvl w:ilvl="0">
      <w:lvlJc w:val="left"/>
      <w:lvlText w:val="(%1)"/>
      <w:numFmt w:val="decimal"/>
      <w:start w:val="1"/>
    </w:lvl>
  </w:abstractNum>
  <w:abstractNum w:abstractNumId="96">
    <w:nsid w:val="4F97E3E4"/>
    <w:multiLevelType w:val="hybridMultilevel"/>
    <w:lvl w:ilvl="0">
      <w:lvlJc w:val="left"/>
      <w:lvlText w:val="1"/>
      <w:numFmt w:val="bullet"/>
      <w:start w:val="1"/>
    </w:lvl>
  </w:abstractNum>
  <w:abstractNum w:abstractNumId="97">
    <w:nsid w:val="53B0A9E"/>
    <w:multiLevelType w:val="hybridMultilevel"/>
    <w:lvl w:ilvl="0">
      <w:lvlJc w:val="left"/>
      <w:lvlText w:val="(%1)"/>
      <w:numFmt w:val="decimal"/>
      <w:start w:val="1"/>
    </w:lvl>
  </w:abstractNum>
  <w:abstractNum w:abstractNumId="98">
    <w:nsid w:val="34FD6B4F"/>
    <w:multiLevelType w:val="hybridMultilevel"/>
    <w:lvl w:ilvl="0">
      <w:lvlJc w:val="left"/>
      <w:lvlText w:val="(%1)"/>
      <w:numFmt w:val="decimal"/>
      <w:start w:val="1"/>
    </w:lvl>
  </w:abstractNum>
  <w:abstractNum w:abstractNumId="99">
    <w:nsid w:val="5915FF32"/>
    <w:multiLevelType w:val="hybridMultilevel"/>
    <w:lvl w:ilvl="0">
      <w:lvlJc w:val="left"/>
      <w:lvlText w:val="["/>
      <w:numFmt w:val="bullet"/>
      <w:start w:val="1"/>
    </w:lvl>
  </w:abstractNum>
  <w:abstractNum w:abstractNumId="100">
    <w:nsid w:val="56438D15"/>
    <w:multiLevelType w:val="hybridMultilevel"/>
    <w:lvl w:ilvl="0">
      <w:lvlJc w:val="left"/>
      <w:lvlText w:val="["/>
      <w:numFmt w:val="bullet"/>
      <w:start w:val="1"/>
    </w:lvl>
  </w:abstractNum>
  <w:abstractNum w:abstractNumId="101">
    <w:nsid w:val="519E3149"/>
    <w:multiLevelType w:val="hybridMultilevel"/>
    <w:lvl w:ilvl="0">
      <w:lvlJc w:val="left"/>
      <w:lvlText w:val="(%1)"/>
      <w:numFmt w:val="lowerLetter"/>
      <w:start w:val="1"/>
    </w:lvl>
    <w:lvl w:ilvl="1">
      <w:lvlJc w:val="left"/>
      <w:lvlText w:val="(%2)"/>
      <w:numFmt w:val="lowerLetter"/>
      <w:start w:val="9"/>
    </w:lvl>
  </w:abstractNum>
  <w:abstractNum w:abstractNumId="102">
    <w:nsid w:val="2C6E4AFD"/>
    <w:multiLevelType w:val="hybridMultilevel"/>
    <w:lvl w:ilvl="0">
      <w:lvlJc w:val="left"/>
      <w:lvlText w:val="(%1)"/>
      <w:numFmt w:val="lowerRoman"/>
      <w:start w:val="2"/>
    </w:lvl>
  </w:abstractNum>
  <w:abstractNum w:abstractNumId="103">
    <w:nsid w:val="17A1B582"/>
    <w:multiLevelType w:val="hybridMultilevel"/>
    <w:lvl w:ilvl="0">
      <w:lvlJc w:val="left"/>
      <w:lvlText w:val="(%1)"/>
      <w:numFmt w:val="lowerRoman"/>
      <w:start w:val="3"/>
    </w:lvl>
  </w:abstractNum>
  <w:abstractNum w:abstractNumId="104">
    <w:nsid w:val="4DF72E4E"/>
    <w:multiLevelType w:val="hybridMultilevel"/>
    <w:lvl w:ilvl="0">
      <w:lvlJc w:val="left"/>
      <w:lvlText w:val="(%1)"/>
      <w:numFmt w:val="lowerRoman"/>
      <w:start w:val="5"/>
    </w:lvl>
  </w:abstractNum>
  <w:abstractNum w:abstractNumId="105">
    <w:nsid w:val="5046B5A9"/>
    <w:multiLevelType w:val="hybridMultilevel"/>
    <w:lvl w:ilvl="0">
      <w:lvlJc w:val="left"/>
      <w:lvlText w:val="(%1)"/>
      <w:numFmt w:val="lowerRoman"/>
      <w:start w:val="7"/>
    </w:lvl>
  </w:abstractNum>
  <w:abstractNum w:abstractNumId="106">
    <w:nsid w:val="5D888A08"/>
    <w:multiLevelType w:val="hybridMultilevel"/>
    <w:lvl w:ilvl="0">
      <w:lvlJc w:val="left"/>
      <w:lvlText w:val="(%1)"/>
      <w:numFmt w:val="lowerRoman"/>
      <w:start w:val="11"/>
    </w:lvl>
  </w:abstractNum>
  <w:abstractNum w:abstractNumId="107">
    <w:nsid w:val="2A082C70"/>
    <w:multiLevelType w:val="hybridMultilevel"/>
    <w:lvl w:ilvl="0">
      <w:lvlJc w:val="left"/>
      <w:lvlText w:val="(%1)"/>
      <w:numFmt w:val="lowerRoman"/>
      <w:start w:val="15"/>
    </w:lvl>
  </w:abstractNum>
  <w:abstractNum w:abstractNumId="108">
    <w:nsid w:val="5EC6AFD4"/>
    <w:multiLevelType w:val="hybridMultilevel"/>
    <w:lvl w:ilvl="0">
      <w:lvlJc w:val="left"/>
      <w:lvlText w:val="(%1)"/>
      <w:numFmt w:val="lowerRoman"/>
      <w:start w:val="17"/>
    </w:lvl>
  </w:abstractNum>
  <w:abstractNum w:abstractNumId="109">
    <w:nsid w:val="19E21BB2"/>
    <w:multiLevelType w:val="hybridMultilevel"/>
    <w:lvl w:ilvl="0">
      <w:lvlJc w:val="left"/>
      <w:lvlText w:val="(%1)"/>
      <w:numFmt w:val="lowerRoman"/>
      <w:start w:val="18"/>
    </w:lvl>
  </w:abstractNum>
  <w:abstractNum w:abstractNumId="110">
    <w:nsid w:val="75E0858A"/>
    <w:multiLevelType w:val="hybridMultilevel"/>
    <w:lvl w:ilvl="0">
      <w:lvlJc w:val="left"/>
      <w:lvlText w:val="%1"/>
      <w:numFmt w:val="upperLetter"/>
      <w:start w:val="1"/>
    </w:lvl>
    <w:lvl w:ilvl="1">
      <w:lvlJc w:val="left"/>
      <w:lvlText w:val="(%2)"/>
      <w:numFmt w:val="lowerRoman"/>
      <w:start w:val="22"/>
    </w:lvl>
  </w:abstractNum>
  <w:abstractNum w:abstractNumId="111">
    <w:nsid w:val="57A61A29"/>
    <w:multiLevelType w:val="hybridMultilevel"/>
    <w:lvl w:ilvl="0">
      <w:lvlJc w:val="left"/>
      <w:lvlText w:val="(%1)"/>
      <w:numFmt w:val="upperLetter"/>
      <w:start w:val="2"/>
    </w:lvl>
    <w:lvl w:ilvl="1">
      <w:lvlJc w:val="left"/>
      <w:lvlText w:val="(%2)"/>
      <w:numFmt w:val="lowerRoman"/>
      <w:start w:val="23"/>
    </w:lvl>
  </w:abstractNum>
  <w:abstractNum w:abstractNumId="112">
    <w:nsid w:val="5399C654"/>
    <w:multiLevelType w:val="hybridMultilevel"/>
    <w:lvl w:ilvl="0">
      <w:lvlJc w:val="left"/>
      <w:lvlText w:val="%1"/>
      <w:numFmt w:val="upperLetter"/>
      <w:start w:val="1"/>
    </w:lvl>
    <w:lvl w:ilvl="1">
      <w:lvlJc w:val="left"/>
      <w:lvlText w:val="(%2)"/>
      <w:numFmt w:val="lowerRoman"/>
      <w:start w:val="25"/>
    </w:lvl>
  </w:abstractNum>
  <w:abstractNum w:abstractNumId="113">
    <w:nsid w:val="20EE1348"/>
    <w:multiLevelType w:val="hybridMultilevel"/>
    <w:lvl w:ilvl="0">
      <w:lvlJc w:val="left"/>
      <w:lvlText w:val="(%1)"/>
      <w:numFmt w:val="upperLetter"/>
      <w:start w:val="2"/>
    </w:lvl>
    <w:lvl w:ilvl="1">
      <w:lvlJc w:val="left"/>
      <w:lvlText w:val="(%2)"/>
      <w:numFmt w:val="lowerRoman"/>
      <w:start w:val="26"/>
    </w:lvl>
  </w:abstractNum>
  <w:abstractNum w:abstractNumId="114">
    <w:nsid w:val="4427069A"/>
    <w:multiLevelType w:val="hybridMultilevel"/>
    <w:lvl w:ilvl="0">
      <w:lvlJc w:val="left"/>
      <w:lvlText w:val="(%1)"/>
      <w:numFmt w:val="lowerRoman"/>
      <w:start w:val="28"/>
    </w:lvl>
  </w:abstractNum>
  <w:abstractNum w:abstractNumId="115">
    <w:nsid w:val="B37E80A"/>
    <w:multiLevelType w:val="hybridMultilevel"/>
    <w:lvl w:ilvl="0">
      <w:lvlJc w:val="left"/>
      <w:lvlText w:val="%1"/>
      <w:numFmt w:val="lowerRoman"/>
      <w:start w:val="1"/>
    </w:lvl>
    <w:lvl w:ilvl="1">
      <w:lvlJc w:val="left"/>
      <w:lvlText w:val="(%2)"/>
      <w:numFmt w:val="lowerRoman"/>
      <w:start w:val="34"/>
    </w:lvl>
  </w:abstractNum>
  <w:abstractNum w:abstractNumId="116">
    <w:nsid w:val="2157F6BC"/>
    <w:multiLevelType w:val="hybridMultilevel"/>
    <w:lvl w:ilvl="0">
      <w:lvlJc w:val="left"/>
      <w:lvlText w:val="(%1)"/>
      <w:numFmt w:val="lowerRoman"/>
      <w:start w:val="3"/>
    </w:lvl>
    <w:lvl w:ilvl="1">
      <w:lvlJc w:val="left"/>
      <w:lvlText w:val="%2"/>
      <w:numFmt w:val="lowerRoman"/>
      <w:start w:val="1"/>
    </w:lvl>
  </w:abstractNum>
  <w:abstractNum w:abstractNumId="117">
    <w:nsid w:val="704E1DD5"/>
    <w:multiLevelType w:val="hybridMultilevel"/>
    <w:lvl w:ilvl="0">
      <w:lvlJc w:val="left"/>
      <w:lvlText w:val="%1"/>
      <w:numFmt w:val="upperLetter"/>
      <w:start w:val="1"/>
    </w:lvl>
    <w:lvl w:ilvl="1">
      <w:lvlJc w:val="left"/>
      <w:lvlText w:val="(%2)"/>
      <w:numFmt w:val="lowerRoman"/>
      <w:start w:val="37"/>
    </w:lvl>
  </w:abstractNum>
  <w:abstractNum w:abstractNumId="118">
    <w:nsid w:val="57D2F10E"/>
    <w:multiLevelType w:val="hybridMultilevel"/>
    <w:lvl w:ilvl="0">
      <w:lvlJc w:val="left"/>
      <w:lvlText w:val="(%1)"/>
      <w:numFmt w:val="upperLetter"/>
      <w:start w:val="3"/>
    </w:lvl>
    <w:lvl w:ilvl="1">
      <w:lvlJc w:val="left"/>
      <w:lvlText w:val="%2"/>
      <w:numFmt w:val="lowerRoman"/>
      <w:start w:val="1"/>
    </w:lvl>
  </w:abstractNum>
  <w:abstractNum w:abstractNumId="119">
    <w:nsid w:val="BFFAE18"/>
    <w:multiLevelType w:val="hybridMultilevel"/>
    <w:lvl w:ilvl="0">
      <w:lvlJc w:val="left"/>
      <w:lvlText w:val="(%1)"/>
      <w:numFmt w:val="lowerLetter"/>
      <w:start w:val="2"/>
    </w:lvl>
    <w:lvl w:ilvl="1">
      <w:lvlJc w:val="left"/>
      <w:lvlText w:val="(%2)"/>
      <w:numFmt w:val="lowerRoman"/>
      <w:start w:val="1"/>
    </w:lvl>
  </w:abstractNum>
  <w:abstractNum w:abstractNumId="120">
    <w:nsid w:val="E3E47A8"/>
    <w:multiLevelType w:val="hybridMultilevel"/>
    <w:lvl w:ilvl="0">
      <w:lvlJc w:val="left"/>
      <w:lvlText w:val="(%1)"/>
      <w:numFmt w:val="lowerLetter"/>
      <w:start w:val="9"/>
    </w:lvl>
    <w:lvl w:ilvl="1">
      <w:lvlJc w:val="left"/>
      <w:lvlText w:val="(%2)"/>
      <w:numFmt w:val="lowerRoman"/>
      <w:start w:val="2"/>
    </w:lvl>
  </w:abstractNum>
  <w:abstractNum w:abstractNumId="121">
    <w:nsid w:val="2E48F044"/>
    <w:multiLevelType w:val="hybridMultilevel"/>
    <w:lvl w:ilvl="0">
      <w:lvlJc w:val="left"/>
      <w:lvlText w:val="%1"/>
      <w:numFmt w:val="upperLetter"/>
      <w:start w:val="1"/>
    </w:lvl>
    <w:lvl w:ilvl="1">
      <w:lvlJc w:val="left"/>
      <w:lvlText w:val="(%2)"/>
      <w:numFmt w:val="lowerRoman"/>
      <w:start w:val="3"/>
    </w:lvl>
  </w:abstractNum>
  <w:abstractNum w:abstractNumId="122">
    <w:nsid w:val="49D0FEAC"/>
    <w:multiLevelType w:val="hybridMultilevel"/>
    <w:lvl w:ilvl="0">
      <w:lvlJc w:val="left"/>
      <w:lvlText w:val="(%1)"/>
      <w:numFmt w:val="upperLetter"/>
      <w:start w:val="35"/>
    </w:lvl>
    <w:lvl w:ilvl="1">
      <w:lvlJc w:val="left"/>
      <w:lvlText w:val="%2"/>
      <w:numFmt w:val="lowerRoman"/>
      <w:start w:val="1"/>
    </w:lvl>
  </w:abstractNum>
  <w:abstractNum w:abstractNumId="123">
    <w:nsid w:val="4BEE5A5B"/>
    <w:multiLevelType w:val="hybridMultilevel"/>
    <w:lvl w:ilvl="0">
      <w:lvlJc w:val="left"/>
      <w:lvlText w:val="%1"/>
      <w:numFmt w:val="lowerLetter"/>
      <w:start w:val="1"/>
    </w:lvl>
    <w:lvl w:ilvl="1">
      <w:lvlJc w:val="left"/>
      <w:lvlText w:val="(%2)"/>
      <w:numFmt w:val="lowerRoman"/>
      <w:start w:val="7"/>
    </w:lvl>
  </w:abstractNum>
  <w:abstractNum w:abstractNumId="124">
    <w:nsid w:val="5551B9F3"/>
    <w:multiLevelType w:val="hybridMultilevel"/>
    <w:lvl w:ilvl="0">
      <w:lvlJc w:val="left"/>
      <w:lvlText w:val="(%1)"/>
      <w:numFmt w:val="lowerLetter"/>
      <w:start w:val="3"/>
    </w:lvl>
    <w:lvl w:ilvl="1">
      <w:lvlJc w:val="left"/>
      <w:lvlText w:val="%2"/>
      <w:numFmt w:val="lowerRoman"/>
      <w:start w:val="1"/>
    </w:lvl>
  </w:abstractNum>
  <w:abstractNum w:abstractNumId="125">
    <w:nsid w:val="24F6AB8E"/>
    <w:multiLevelType w:val="hybridMultilevel"/>
    <w:lvl w:ilvl="0">
      <w:lvlJc w:val="left"/>
      <w:lvlText w:val="(%1)"/>
      <w:numFmt w:val="lowerLetter"/>
      <w:start w:val="1"/>
    </w:lvl>
  </w:abstractNum>
  <w:abstractNum w:abstractNumId="126">
    <w:nsid w:val="634C574C"/>
    <w:multiLevelType w:val="hybridMultilevel"/>
    <w:lvl w:ilvl="0">
      <w:lvlJc w:val="left"/>
      <w:lvlText w:val="%1"/>
      <w:numFmt w:val="lowerLetter"/>
      <w:start w:val="1"/>
    </w:lvl>
    <w:lvl w:ilvl="1">
      <w:lvlJc w:val="left"/>
      <w:lvlText w:val="(%2)"/>
      <w:numFmt w:val="lowerLetter"/>
      <w:start w:val="1"/>
    </w:lvl>
  </w:abstractNum>
  <w:abstractNum w:abstractNumId="127">
    <w:nsid w:val="24E99DD7"/>
    <w:multiLevelType w:val="hybridMultilevel"/>
    <w:lvl w:ilvl="0">
      <w:lvlJc w:val="left"/>
      <w:lvlText w:val="(%1)"/>
      <w:numFmt w:val="lowerLetter"/>
      <w:start w:val="22"/>
    </w:lvl>
    <w:lvl w:ilvl="1">
      <w:lvlJc w:val="left"/>
      <w:lvlText w:val="%2"/>
      <w:numFmt w:val="lowerLetter"/>
      <w:start w:val="1"/>
    </w:lvl>
  </w:abstractNum>
  <w:abstractNum w:abstractNumId="128">
    <w:nsid w:val="2A31B62D"/>
    <w:multiLevelType w:val="hybridMultilevel"/>
    <w:lvl w:ilvl="0">
      <w:lvlJc w:val="left"/>
      <w:lvlText w:val="(%1)"/>
      <w:numFmt w:val="lowerLetter"/>
      <w:start w:val="2"/>
    </w:lvl>
  </w:abstractNum>
  <w:abstractNum w:abstractNumId="129">
    <w:nsid w:val="1849C29B"/>
    <w:multiLevelType w:val="hybridMultilevel"/>
    <w:lvl w:ilvl="0">
      <w:lvlJc w:val="left"/>
      <w:lvlText w:val="%1"/>
      <w:numFmt w:val="upperLetter"/>
      <w:start w:val="1"/>
    </w:lvl>
    <w:lvl w:ilvl="1">
      <w:lvlJc w:val="left"/>
      <w:lvlText w:val="(%2)"/>
      <w:numFmt w:val="lowerLetter"/>
      <w:start w:val="6"/>
    </w:lvl>
  </w:abstractNum>
  <w:abstractNum w:abstractNumId="130">
    <w:nsid w:val="7DFF9D09"/>
    <w:multiLevelType w:val="hybridMultilevel"/>
    <w:lvl w:ilvl="0">
      <w:lvlJc w:val="left"/>
      <w:lvlText w:val="(%1)"/>
      <w:numFmt w:val="upperLetter"/>
      <w:start w:val="6"/>
    </w:lvl>
    <w:lvl w:ilvl="1">
      <w:lvlJc w:val="left"/>
      <w:lvlText w:val="(%2)"/>
      <w:numFmt w:val="lowerLetter"/>
      <w:start w:val="10"/>
    </w:lvl>
  </w:abstractNum>
  <w:abstractNum w:abstractNumId="131">
    <w:nsid w:val="754342"/>
    <w:multiLevelType w:val="hybridMultilevel"/>
    <w:lvl w:ilvl="0">
      <w:lvlJc w:val="left"/>
      <w:lvlText w:val="(%1)"/>
      <w:numFmt w:val="lowerLetter"/>
      <w:start w:val="11"/>
    </w:lvl>
  </w:abstractNum>
  <w:abstractNum w:abstractNumId="132">
    <w:nsid w:val="69E7F3E5"/>
    <w:multiLevelType w:val="hybridMultilevel"/>
    <w:lvl w:ilvl="0">
      <w:lvlJc w:val="left"/>
      <w:lvlText w:val="(%1)"/>
      <w:numFmt w:val="lowerLetter"/>
      <w:start w:val="1"/>
    </w:lvl>
  </w:abstractNum>
  <w:abstractNum w:abstractNumId="133">
    <w:nsid w:val="2A6DE806"/>
    <w:multiLevelType w:val="hybridMultilevel"/>
    <w:lvl w:ilvl="0">
      <w:lvlJc w:val="left"/>
      <w:lvlText w:val="(%1)"/>
      <w:numFmt w:val="lowerLetter"/>
      <w:start w:val="1"/>
    </w:lvl>
  </w:abstractNum>
  <w:abstractNum w:abstractNumId="134">
    <w:nsid w:val="1816F8C4"/>
    <w:multiLevelType w:val="hybridMultilevel"/>
    <w:lvl w:ilvl="0">
      <w:lvlJc w:val="left"/>
      <w:lvlText w:val="(%1)"/>
      <w:numFmt w:val="lowerLetter"/>
      <w:start w:val="9"/>
    </w:lvl>
  </w:abstractNum>
  <w:abstractNum w:abstractNumId="135">
    <w:nsid w:val="37DF2233"/>
    <w:multiLevelType w:val="hybridMultilevel"/>
    <w:lvl w:ilvl="0">
      <w:lvlJc w:val="left"/>
      <w:lvlText w:val="(%1)"/>
      <w:numFmt w:val="lowerLetter"/>
      <w:start w:val="16"/>
    </w:lvl>
    <w:lvl w:ilvl="1">
      <w:lvlJc w:val="left"/>
      <w:lvlText w:val="(%2)"/>
      <w:numFmt w:val="lowerLetter"/>
      <w:start w:val="9"/>
    </w:lvl>
  </w:abstractNum>
  <w:abstractNum w:abstractNumId="136">
    <w:nsid w:val="7AB49DAF"/>
    <w:multiLevelType w:val="hybridMultilevel"/>
    <w:lvl w:ilvl="0">
      <w:lvlJc w:val="left"/>
      <w:lvlText w:val="(%1)"/>
      <w:numFmt w:val="lowerRoman"/>
      <w:start w:val="2"/>
    </w:lvl>
  </w:abstractNum>
  <w:abstractNum w:abstractNumId="137">
    <w:nsid w:val="759F82CD"/>
    <w:multiLevelType w:val="hybridMultilevel"/>
    <w:lvl w:ilvl="0">
      <w:lvlJc w:val="left"/>
      <w:lvlText w:val="%1"/>
      <w:numFmt w:val="lowerLetter"/>
      <w:start w:val="1"/>
    </w:lvl>
    <w:lvl w:ilvl="1">
      <w:lvlJc w:val="left"/>
      <w:lvlText w:val="(%2)"/>
      <w:numFmt w:val="lowerLetter"/>
      <w:start w:val="24"/>
    </w:lvl>
  </w:abstractNum>
  <w:abstractNum w:abstractNumId="138">
    <w:nsid w:val="61E74EA3"/>
    <w:multiLevelType w:val="hybridMultilevel"/>
    <w:lvl w:ilvl="0">
      <w:lvlJc w:val="left"/>
      <w:lvlText w:val="(%1)"/>
      <w:numFmt w:val="lowerLetter"/>
      <w:start w:val="18"/>
    </w:lvl>
    <w:lvl w:ilvl="1">
      <w:lvlJc w:val="left"/>
      <w:lvlText w:val="%2"/>
      <w:numFmt w:val="lowerLetter"/>
      <w:start w:val="1"/>
    </w:lvl>
  </w:abstractNum>
  <w:abstractNum w:abstractNumId="139">
    <w:nsid w:val="597B4D84"/>
    <w:multiLevelType w:val="hybridMultilevel"/>
    <w:lvl w:ilvl="0">
      <w:lvlJc w:val="left"/>
      <w:lvlText w:val="(%1)"/>
      <w:numFmt w:val="lowerLetter"/>
      <w:start w:val="1"/>
    </w:lvl>
    <w:lvl w:ilvl="1">
      <w:lvlJc w:val="left"/>
      <w:lvlText w:val="(%2)"/>
      <w:numFmt w:val="lowerLetter"/>
      <w:start w:val="9"/>
    </w:lvl>
  </w:abstractNum>
  <w:abstractNum w:abstractNumId="140">
    <w:nsid w:val="F819E7F"/>
    <w:multiLevelType w:val="hybridMultilevel"/>
    <w:lvl w:ilvl="0">
      <w:lvlJc w:val="left"/>
      <w:lvlText w:val="(%1)"/>
      <w:numFmt w:val="lowerRoman"/>
      <w:start w:val="2"/>
    </w:lvl>
  </w:abstractNum>
  <w:abstractNum w:abstractNumId="141">
    <w:nsid w:val="57C7D42D"/>
    <w:multiLevelType w:val="hybridMultilevel"/>
    <w:lvl w:ilvl="0">
      <w:lvlJc w:val="left"/>
      <w:lvlText w:val="(%1)"/>
      <w:numFmt w:val="lowerLetter"/>
      <w:start w:val="2"/>
    </w:lvl>
  </w:abstractNum>
  <w:abstractNum w:abstractNumId="142">
    <w:nsid w:val="312167AD"/>
    <w:multiLevelType w:val="hybridMultilevel"/>
    <w:lvl w:ilvl="0">
      <w:lvlJc w:val="left"/>
      <w:lvlText w:val="(%1)"/>
      <w:numFmt w:val="lowerLetter"/>
      <w:start w:val="4"/>
    </w:lvl>
  </w:abstractNum>
  <w:abstractNum w:abstractNumId="143">
    <w:nsid w:val="631B64D4"/>
    <w:multiLevelType w:val="hybridMultilevel"/>
    <w:lvl w:ilvl="0">
      <w:lvlJc w:val="left"/>
      <w:lvlText w:val="(%1)"/>
      <w:numFmt w:val="lowerLetter"/>
      <w:start w:val="1"/>
    </w:lvl>
  </w:abstractNum>
  <w:abstractNum w:abstractNumId="144">
    <w:nsid w:val="78B5E776"/>
    <w:multiLevelType w:val="hybridMultilevel"/>
    <w:lvl w:ilvl="0">
      <w:lvlJc w:val="left"/>
      <w:lvlText w:val="(%1)"/>
      <w:numFmt w:val="lowerRoman"/>
      <w:start w:val="1"/>
    </w:lvl>
  </w:abstractNum>
  <w:abstractNum w:abstractNumId="145">
    <w:nsid w:val="75486E47"/>
    <w:multiLevelType w:val="hybridMultilevel"/>
    <w:lvl w:ilvl="0">
      <w:lvlJc w:val="left"/>
      <w:lvlText w:val="(%1)"/>
      <w:numFmt w:val="lowerRoman"/>
      <w:start w:val="2"/>
    </w:lvl>
  </w:abstractNum>
  <w:abstractNum w:abstractNumId="146">
    <w:nsid w:val="6E534CDE"/>
    <w:multiLevelType w:val="hybridMultilevel"/>
    <w:lvl w:ilvl="0">
      <w:lvlJc w:val="left"/>
      <w:lvlText w:val="(%1)"/>
      <w:numFmt w:val="lowerLetter"/>
      <w:start w:val="2"/>
    </w:lvl>
  </w:abstractNum>
  <w:abstractNum w:abstractNumId="147">
    <w:nsid w:val="1A0DDE32"/>
    <w:multiLevelType w:val="hybridMultilevel"/>
    <w:lvl w:ilvl="0">
      <w:lvlJc w:val="left"/>
      <w:lvlText w:val="(%1)"/>
      <w:numFmt w:val="lowerLetter"/>
      <w:start w:val="1"/>
    </w:lvl>
  </w:abstractNum>
  <w:abstractNum w:abstractNumId="148">
    <w:nsid w:val="65968C1C"/>
    <w:multiLevelType w:val="hybridMultilevel"/>
    <w:lvl w:ilvl="0">
      <w:lvlJc w:val="left"/>
      <w:lvlText w:val="["/>
      <w:numFmt w:val="bullet"/>
      <w:start w:val="1"/>
    </w:lvl>
  </w:abstractNum>
  <w:abstractNum w:abstractNumId="149">
    <w:nsid w:val="46263D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jpeg"/><Relationship Id="rId335" Type="http://schemas.openxmlformats.org/officeDocument/2006/relationships/image" Target="media/image309.png"/><Relationship Id="rId336" Type="http://schemas.openxmlformats.org/officeDocument/2006/relationships/image" Target="media/image310.jpeg"/><Relationship Id="rId243" Type="http://schemas.openxmlformats.org/officeDocument/2006/relationships/hyperlink" Target="http://www.sec.gov/Archives/edgar/data/1566895/000119312520187868/d828449dex31.htm" TargetMode="External"/><Relationship Id="rId244" Type="http://schemas.openxmlformats.org/officeDocument/2006/relationships/hyperlink" Target="http://www.sec.gov/Archives/edgar/data/1566895/000119312520187868/d828449dex32.htm" TargetMode="External"/><Relationship Id="rId245" Type="http://schemas.openxmlformats.org/officeDocument/2006/relationships/hyperlink" Target="http://www.sec.gov/Archives/edgar/data/1566895/000119312520187868/d828449dex41.htm" TargetMode="External"/><Relationship Id="rId246" Type="http://schemas.openxmlformats.org/officeDocument/2006/relationships/hyperlink" Target="http://www.sec.gov/Archives/edgar/data/1566895/000119312520174870/d828449dex42.htm" TargetMode="External"/><Relationship Id="rId247" Type="http://schemas.openxmlformats.org/officeDocument/2006/relationships/hyperlink" Target="http://www.sec.gov/Archives/edgar/data/1566895/000119312520187868/d828449dex43.htm" TargetMode="External"/><Relationship Id="rId248" Type="http://schemas.openxmlformats.org/officeDocument/2006/relationships/hyperlink" Target="http://www.sec.gov/Archives/edgar/data/1566895/000119312520187868/d828449dex44.htm" TargetMode="External"/><Relationship Id="rId249" Type="http://schemas.openxmlformats.org/officeDocument/2006/relationships/hyperlink" Target="http://www.sec.gov/Archives/edgar/data/1566895/000119312520187868/d828449dex45.htm" TargetMode="External"/><Relationship Id="rId250" Type="http://schemas.openxmlformats.org/officeDocument/2006/relationships/hyperlink" Target="http://www.sec.gov/Archives/edgar/data/1566895/000119312520187868/d828449dex46.htm" TargetMode="External"/><Relationship Id="rId251" Type="http://schemas.openxmlformats.org/officeDocument/2006/relationships/hyperlink" Target="http://www.sec.gov/Archives/edgar/data/1566895/000119312520187868/d828449dex47.htm" TargetMode="External"/><Relationship Id="rId252" Type="http://schemas.openxmlformats.org/officeDocument/2006/relationships/hyperlink" Target="http://www.sec.gov/Archives/edgar/data/1566895/000119312520187868/d828449dex48.htm" TargetMode="External"/><Relationship Id="rId253" Type="http://schemas.openxmlformats.org/officeDocument/2006/relationships/hyperlink" Target="http://www.sec.gov/Archives/edgar/data/1566895/000119312520187868/d828449dex49.htm" TargetMode="External"/><Relationship Id="rId254" Type="http://schemas.openxmlformats.org/officeDocument/2006/relationships/hyperlink" Target="http://www.sec.gov/Archives/edgar/data/1566895/000119312520174870/d828449dex101.htm" TargetMode="External"/><Relationship Id="rId255" Type="http://schemas.openxmlformats.org/officeDocument/2006/relationships/hyperlink" Target="http://www.sec.gov/Archives/edgar/data/1566895/000119312520187868/d828449dex102.htm" TargetMode="External"/><Relationship Id="rId256" Type="http://schemas.openxmlformats.org/officeDocument/2006/relationships/hyperlink" Target="http://www.sec.gov/Archives/edgar/data/1566895/000119312520187868/d828449dex103.htm" TargetMode="External"/><Relationship Id="rId257" Type="http://schemas.openxmlformats.org/officeDocument/2006/relationships/hyperlink" Target="http://www.sec.gov/Archives/edgar/data/1566895/000119312520187868/d828449dex104.htm" TargetMode="External"/><Relationship Id="rId258" Type="http://schemas.openxmlformats.org/officeDocument/2006/relationships/hyperlink" Target="http://www.sec.gov/Archives/edgar/data/1566895/000119312520187868/d828449dex105.htm" TargetMode="External"/><Relationship Id="rId259" Type="http://schemas.openxmlformats.org/officeDocument/2006/relationships/hyperlink" Target="http://www.sec.gov/Archives/edgar/data/1566895/000119312520187868/d828449dex106.htm" TargetMode="External"/><Relationship Id="rId260" Type="http://schemas.openxmlformats.org/officeDocument/2006/relationships/hyperlink" Target="http://www.sec.gov/Archives/edgar/data/1566895/000119312520174870/d828449dex107.htm" TargetMode="External"/><Relationship Id="rId261" Type="http://schemas.openxmlformats.org/officeDocument/2006/relationships/hyperlink" Target="http://www.sec.gov/Archives/edgar/data/1566895/000119312520187868/d828449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2020-10-05T16:14:21Z</dcterms:created>
  <dcterms:modified xsi:type="dcterms:W3CDTF">2020-10-05T16:14:21Z</dcterms:modified>
</cp:coreProperties>
</file>