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4"/>
          <w:szCs w:val="24"/>
          <w:color w:val="auto"/>
        </w:rPr>
      </w:pPr>
    </w:p>
    <w:p>
      <w:pPr>
        <w:spacing w:after="0" w:line="39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381" w:lineRule="exact"/>
        <w:rPr>
          <w:sz w:val="24"/>
          <w:szCs w:val="24"/>
          <w:color w:val="auto"/>
        </w:rPr>
      </w:pPr>
    </w:p>
    <w:p>
      <w:pPr>
        <w:jc w:val="center"/>
        <w:ind w:left="4240" w:right="1820" w:hanging="2357"/>
        <w:spacing w:after="0" w:line="254" w:lineRule="auto"/>
        <w:tabs>
          <w:tab w:leader="none" w:pos="2044"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July 31, 2020</w:t>
      </w:r>
    </w:p>
    <w:p>
      <w:pPr>
        <w:spacing w:after="0" w:line="1" w:lineRule="exact"/>
        <w:rPr>
          <w:rFonts w:ascii="MS PGothic" w:cs="MS PGothic" w:eastAsia="MS PGothic" w:hAnsi="MS PGothic"/>
          <w:sz w:val="14"/>
          <w:szCs w:val="14"/>
          <w:color w:val="auto"/>
        </w:rPr>
      </w:pPr>
    </w:p>
    <w:p>
      <w:pPr>
        <w:ind w:left="55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1" w:lineRule="exact"/>
        <w:rPr>
          <w:rFonts w:ascii="MS PGothic" w:cs="MS PGothic" w:eastAsia="MS PGothic" w:hAnsi="MS PGothic"/>
          <w:sz w:val="14"/>
          <w:szCs w:val="14"/>
          <w:color w:val="auto"/>
        </w:rPr>
      </w:pPr>
    </w:p>
    <w:p>
      <w:pPr>
        <w:jc w:val="center"/>
        <w:ind w:left="4460" w:right="1820" w:hanging="2581"/>
        <w:spacing w:after="0" w:line="247" w:lineRule="auto"/>
        <w:tabs>
          <w:tab w:leader="none" w:pos="2052"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__to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1201420</wp:posOffset>
            </wp:positionH>
            <wp:positionV relativeFrom="paragraph">
              <wp:posOffset>-198755</wp:posOffset>
            </wp:positionV>
            <wp:extent cx="69215" cy="704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Commission File Number: 001-39380</w:t>
            </w: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599"/>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31"/>
                <w:szCs w:val="31"/>
                <w:b w:val="1"/>
                <w:bCs w:val="1"/>
                <w:color w:val="auto"/>
                <w:w w:val="99"/>
              </w:rPr>
              <w:t>nCino, Inc.</w:t>
            </w: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47"/>
        </w:trPr>
        <w:tc>
          <w:tcPr>
            <w:tcW w:w="1340" w:type="dxa"/>
            <w:vAlign w:val="bottom"/>
          </w:tcPr>
          <w:p>
            <w:pPr>
              <w:spacing w:after="0"/>
              <w:rPr>
                <w:sz w:val="21"/>
                <w:szCs w:val="21"/>
                <w:color w:val="auto"/>
              </w:rPr>
            </w:pPr>
          </w:p>
        </w:tc>
        <w:tc>
          <w:tcPr>
            <w:tcW w:w="232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40" w:type="dxa"/>
            <w:vAlign w:val="bottom"/>
            <w:gridSpan w:val="2"/>
          </w:tcPr>
          <w:p>
            <w:pPr>
              <w:jc w:val="center"/>
              <w:ind w:left="304"/>
              <w:spacing w:after="0"/>
              <w:rPr>
                <w:sz w:val="20"/>
                <w:szCs w:val="20"/>
                <w:color w:val="auto"/>
              </w:rPr>
            </w:pPr>
            <w:r>
              <w:rPr>
                <w:rFonts w:ascii="Times New Roman" w:cs="Times New Roman" w:eastAsia="Times New Roman" w:hAnsi="Times New Roman"/>
                <w:sz w:val="16"/>
                <w:szCs w:val="16"/>
                <w:b w:val="1"/>
                <w:bCs w:val="1"/>
                <w:color w:val="auto"/>
              </w:rPr>
              <w:t>46-4353148</w:t>
            </w:r>
          </w:p>
        </w:tc>
      </w:tr>
      <w:tr>
        <w:trPr>
          <w:trHeight w:val="247"/>
        </w:trPr>
        <w:tc>
          <w:tcPr>
            <w:tcW w:w="3660" w:type="dxa"/>
            <w:vAlign w:val="bottom"/>
            <w:gridSpan w:val="3"/>
          </w:tcPr>
          <w:p>
            <w:pPr>
              <w:jc w:val="center"/>
              <w:ind w:left="4"/>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3660" w:type="dxa"/>
            <w:vAlign w:val="bottom"/>
            <w:gridSpan w:val="3"/>
          </w:tcPr>
          <w:p>
            <w:pPr>
              <w:jc w:val="center"/>
              <w:ind w:left="24"/>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Identification Number)</w:t>
            </w:r>
          </w:p>
        </w:tc>
      </w:tr>
      <w:tr>
        <w:trPr>
          <w:trHeight w:val="233"/>
        </w:trPr>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6770 Parker Farm Drive</w:t>
            </w: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180"/>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Wilmington, North Carolina 28405</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including zip code)</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485"/>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gridSpan w:val="2"/>
          </w:tcPr>
          <w:p>
            <w:pPr>
              <w:jc w:val="center"/>
              <w:ind w:left="1334"/>
              <w:spacing w:after="0"/>
              <w:rPr>
                <w:sz w:val="20"/>
                <w:szCs w:val="20"/>
                <w:color w:val="auto"/>
              </w:rPr>
            </w:pPr>
            <w:r>
              <w:rPr>
                <w:rFonts w:ascii="Times New Roman" w:cs="Times New Roman" w:eastAsia="Times New Roman" w:hAnsi="Times New Roman"/>
                <w:sz w:val="16"/>
                <w:szCs w:val="16"/>
                <w:b w:val="1"/>
                <w:bCs w:val="1"/>
                <w:color w:val="auto"/>
              </w:rPr>
              <w:t>(888) 676-2466</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473"/>
        </w:trPr>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6"/>
        </w:trPr>
        <w:tc>
          <w:tcPr>
            <w:tcW w:w="13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40" w:type="dxa"/>
            <w:vAlign w:val="bottom"/>
          </w:tcPr>
          <w:p>
            <w:pPr>
              <w:spacing w:after="0"/>
              <w:rPr>
                <w:sz w:val="19"/>
                <w:szCs w:val="19"/>
                <w:color w:val="auto"/>
              </w:rPr>
            </w:pPr>
          </w:p>
        </w:tc>
        <w:tc>
          <w:tcPr>
            <w:tcW w:w="4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040" w:type="dxa"/>
            <w:vAlign w:val="bottom"/>
            <w:gridSpan w:val="2"/>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13"/>
        </w:trPr>
        <w:tc>
          <w:tcPr>
            <w:tcW w:w="3660" w:type="dxa"/>
            <w:vAlign w:val="bottom"/>
            <w:gridSpan w:val="3"/>
          </w:tcPr>
          <w:p>
            <w:pPr>
              <w:jc w:val="center"/>
              <w:ind w:left="4"/>
              <w:spacing w:after="0"/>
              <w:rPr>
                <w:sz w:val="20"/>
                <w:szCs w:val="20"/>
                <w:color w:val="auto"/>
              </w:rPr>
            </w:pPr>
            <w:r>
              <w:rPr>
                <w:rFonts w:ascii="Times New Roman" w:cs="Times New Roman" w:eastAsia="Times New Roman" w:hAnsi="Times New Roman"/>
                <w:sz w:val="14"/>
                <w:szCs w:val="14"/>
                <w:color w:val="auto"/>
              </w:rPr>
              <w:t>Common stock, par value $0.0005 per share</w:t>
            </w:r>
          </w:p>
        </w:tc>
        <w:tc>
          <w:tcPr>
            <w:tcW w:w="1380" w:type="dxa"/>
            <w:vAlign w:val="bottom"/>
          </w:tcPr>
          <w:p>
            <w:pPr>
              <w:spacing w:after="0"/>
              <w:rPr>
                <w:sz w:val="18"/>
                <w:szCs w:val="18"/>
                <w:color w:val="auto"/>
              </w:rPr>
            </w:pPr>
          </w:p>
        </w:tc>
        <w:tc>
          <w:tcPr>
            <w:tcW w:w="262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color w:val="auto"/>
              </w:rPr>
              <w:t>NCNO</w:t>
            </w:r>
          </w:p>
        </w:tc>
        <w:tc>
          <w:tcPr>
            <w:tcW w:w="3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38" w:lineRule="exact"/>
        <w:rPr>
          <w:sz w:val="24"/>
          <w:szCs w:val="24"/>
          <w:color w:val="auto"/>
        </w:rPr>
      </w:pPr>
    </w:p>
    <w:p>
      <w:pPr>
        <w:ind w:right="1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5782945</wp:posOffset>
            </wp:positionH>
            <wp:positionV relativeFrom="paragraph">
              <wp:posOffset>-106045</wp:posOffset>
            </wp:positionV>
            <wp:extent cx="69215" cy="704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210" w:lineRule="exact"/>
        <w:rPr>
          <w:sz w:val="24"/>
          <w:szCs w:val="24"/>
          <w:color w:val="auto"/>
        </w:rPr>
      </w:pPr>
    </w:p>
    <w:p>
      <w:pPr>
        <w:ind w:right="4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4608195</wp:posOffset>
            </wp:positionH>
            <wp:positionV relativeFrom="paragraph">
              <wp:posOffset>-106045</wp:posOffset>
            </wp:positionV>
            <wp:extent cx="69215" cy="70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251"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9" w:lineRule="exact"/>
        <w:rPr>
          <w:sz w:val="24"/>
          <w:szCs w:val="24"/>
          <w:color w:val="auto"/>
        </w:rPr>
      </w:pPr>
    </w:p>
    <w:tbl>
      <w:tblPr>
        <w:tblLayout w:type="fixed"/>
        <w:tblInd w:w="20" w:type="dxa"/>
        <w:tblCellMar>
          <w:top w:w="0" w:type="dxa"/>
          <w:left w:w="0" w:type="dxa"/>
          <w:bottom w:w="0" w:type="dxa"/>
          <w:right w:w="0" w:type="dxa"/>
        </w:tblCellMar>
      </w:tblPr>
      <w:tr>
        <w:trPr>
          <w:trHeight w:val="253"/>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4"/>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311" w:lineRule="exact"/>
        <w:rPr>
          <w:sz w:val="24"/>
          <w:szCs w:val="24"/>
          <w:color w:val="auto"/>
        </w:rPr>
      </w:pPr>
    </w:p>
    <w:p>
      <w:pPr>
        <w:ind w:right="500"/>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61" w:lineRule="exact"/>
        <w:rPr>
          <w:sz w:val="24"/>
          <w:szCs w:val="24"/>
          <w:color w:val="auto"/>
        </w:rPr>
      </w:pPr>
    </w:p>
    <w:p>
      <w:pPr>
        <w:spacing w:after="0" w:line="161" w:lineRule="exact"/>
        <w:tabs>
          <w:tab w:leader="none" w:pos="70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33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91,149,949 shares of common stock, $0.0005 par value per share, as of August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580" w:type="dxa"/>
            <w:vAlign w:val="bottom"/>
          </w:tcPr>
          <w:p>
            <w:pPr>
              <w:spacing w:after="0"/>
              <w:rPr>
                <w:sz w:val="16"/>
                <w:szCs w:val="16"/>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1"/>
        </w:trPr>
        <w:tc>
          <w:tcPr>
            <w:tcW w:w="10580" w:type="dxa"/>
            <w:vAlign w:val="bottom"/>
          </w:tcPr>
          <w:p>
            <w:pPr>
              <w:ind w:left="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Cautionary Note Regarding Forward-Looking Statements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2">
              <w:r>
                <w:rPr>
                  <w:rFonts w:ascii="Times New Roman" w:cs="Times New Roman" w:eastAsia="Times New Roman" w:hAnsi="Times New Roman"/>
                  <w:sz w:val="18"/>
                  <w:szCs w:val="18"/>
                  <w:color w:val="auto"/>
                </w:rPr>
                <w:t>i</w:t>
              </w:r>
            </w:hyperlink>
          </w:p>
        </w:tc>
      </w:tr>
      <w:tr>
        <w:trPr>
          <w:trHeight w:val="234"/>
        </w:trPr>
        <w:tc>
          <w:tcPr>
            <w:tcW w:w="105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Part I. Financial Information</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1</w:t>
              </w:r>
            </w:hyperlink>
          </w:p>
        </w:tc>
      </w:tr>
      <w:tr>
        <w:trPr>
          <w:trHeight w:val="229"/>
        </w:trPr>
        <w:tc>
          <w:tcPr>
            <w:tcW w:w="10580" w:type="dxa"/>
            <w:vAlign w:val="bottom"/>
          </w:tcPr>
          <w:p>
            <w:pPr>
              <w:ind w:left="14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Item 1. Financial Statements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1</w:t>
              </w:r>
            </w:hyperlink>
          </w:p>
        </w:tc>
      </w:tr>
      <w:tr>
        <w:trPr>
          <w:trHeight w:val="230"/>
        </w:trPr>
        <w:tc>
          <w:tcPr>
            <w:tcW w:w="10580" w:type="dxa"/>
            <w:vAlign w:val="bottom"/>
          </w:tcPr>
          <w:p>
            <w:pPr>
              <w:ind w:left="36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Condensed Consolidated Balance Sheets as of January 31, 2020 and July 31, 2020 (Unaudited)</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1</w:t>
              </w:r>
            </w:hyperlink>
          </w:p>
        </w:tc>
      </w:tr>
      <w:tr>
        <w:trPr>
          <w:trHeight w:val="229"/>
        </w:trPr>
        <w:tc>
          <w:tcPr>
            <w:tcW w:w="10580" w:type="dxa"/>
            <w:vAlign w:val="bottom"/>
          </w:tcPr>
          <w:p>
            <w:pPr>
              <w:ind w:left="36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Unaudited Condensed Consolidated Statements of Operations for the Three and Six Months Ended July 31, 2019 and 2020</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2</w:t>
              </w:r>
            </w:hyperlink>
          </w:p>
        </w:tc>
      </w:tr>
      <w:tr>
        <w:trPr>
          <w:trHeight w:val="229"/>
        </w:trPr>
        <w:tc>
          <w:tcPr>
            <w:tcW w:w="10580" w:type="dxa"/>
            <w:vAlign w:val="bottom"/>
          </w:tcPr>
          <w:p>
            <w:pPr>
              <w:ind w:left="36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Unaudited Condensed Consolidated Statements of Comprehensive Loss for the Three and Six Months Ended July 31, 2019 and 2020</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3</w:t>
              </w:r>
            </w:hyperlink>
          </w:p>
        </w:tc>
      </w:tr>
      <w:tr>
        <w:trPr>
          <w:trHeight w:val="230"/>
        </w:trPr>
        <w:tc>
          <w:tcPr>
            <w:tcW w:w="10580" w:type="dxa"/>
            <w:vAlign w:val="bottom"/>
          </w:tcPr>
          <w:p>
            <w:pPr>
              <w:ind w:left="36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Unaudited Condensed Consolidated Statements of Stockholders' Equity for the Three and Six Months Ended July 31, 2019 and 2020</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4</w:t>
              </w:r>
            </w:hyperlink>
          </w:p>
        </w:tc>
      </w:tr>
      <w:tr>
        <w:trPr>
          <w:trHeight w:val="229"/>
        </w:trPr>
        <w:tc>
          <w:tcPr>
            <w:tcW w:w="10580" w:type="dxa"/>
            <w:vAlign w:val="bottom"/>
          </w:tcPr>
          <w:p>
            <w:pPr>
              <w:ind w:left="36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Unaudited Condensed Consolidated Statements of Cash Flows for the Six Months Ended July 31, 2019 and 2020</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6</w:t>
              </w:r>
            </w:hyperlink>
          </w:p>
        </w:tc>
      </w:tr>
      <w:tr>
        <w:trPr>
          <w:trHeight w:val="229"/>
        </w:trPr>
        <w:tc>
          <w:tcPr>
            <w:tcW w:w="10580" w:type="dxa"/>
            <w:vAlign w:val="bottom"/>
          </w:tcPr>
          <w:p>
            <w:pPr>
              <w:ind w:left="360"/>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Notes to Unaudited Condensed Consolidated Financial Statements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7</w:t>
              </w:r>
            </w:hyperlink>
          </w:p>
        </w:tc>
      </w:tr>
      <w:tr>
        <w:trPr>
          <w:trHeight w:val="230"/>
        </w:trPr>
        <w:tc>
          <w:tcPr>
            <w:tcW w:w="10580" w:type="dxa"/>
            <w:vAlign w:val="bottom"/>
          </w:tcPr>
          <w:p>
            <w:pPr>
              <w:ind w:left="140"/>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Item 2. Management’s Discussion and Analysis of Financial Condition and Results of Operations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22">
              <w:r>
                <w:rPr>
                  <w:rFonts w:ascii="Times New Roman" w:cs="Times New Roman" w:eastAsia="Times New Roman" w:hAnsi="Times New Roman"/>
                  <w:sz w:val="18"/>
                  <w:szCs w:val="18"/>
                  <w:color w:val="auto"/>
                </w:rPr>
                <w:t>20</w:t>
              </w:r>
            </w:hyperlink>
          </w:p>
        </w:tc>
      </w:tr>
      <w:tr>
        <w:trPr>
          <w:trHeight w:val="229"/>
        </w:trPr>
        <w:tc>
          <w:tcPr>
            <w:tcW w:w="10580" w:type="dxa"/>
            <w:vAlign w:val="bottom"/>
          </w:tcPr>
          <w:p>
            <w:pPr>
              <w:ind w:left="14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Item 3. Quantitative and Qualitative Disclosures About Market Risk</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35">
              <w:r>
                <w:rPr>
                  <w:rFonts w:ascii="Times New Roman" w:cs="Times New Roman" w:eastAsia="Times New Roman" w:hAnsi="Times New Roman"/>
                  <w:sz w:val="18"/>
                  <w:szCs w:val="18"/>
                  <w:color w:val="auto"/>
                </w:rPr>
                <w:t>32</w:t>
              </w:r>
            </w:hyperlink>
          </w:p>
        </w:tc>
      </w:tr>
      <w:tr>
        <w:trPr>
          <w:trHeight w:val="226"/>
        </w:trPr>
        <w:tc>
          <w:tcPr>
            <w:tcW w:w="10580" w:type="dxa"/>
            <w:vAlign w:val="bottom"/>
          </w:tcPr>
          <w:p>
            <w:pPr>
              <w:ind w:left="14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Item 4. Controls and Procedures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35">
              <w:r>
                <w:rPr>
                  <w:rFonts w:ascii="Times New Roman" w:cs="Times New Roman" w:eastAsia="Times New Roman" w:hAnsi="Times New Roman"/>
                  <w:sz w:val="18"/>
                  <w:szCs w:val="18"/>
                  <w:color w:val="auto"/>
                </w:rPr>
                <w:t>32</w:t>
              </w:r>
            </w:hyperlink>
          </w:p>
        </w:tc>
      </w:tr>
      <w:tr>
        <w:trPr>
          <w:trHeight w:val="233"/>
        </w:trPr>
        <w:tc>
          <w:tcPr>
            <w:tcW w:w="105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6">
              <w:r>
                <w:rPr>
                  <w:rFonts w:ascii="Times New Roman" w:cs="Times New Roman" w:eastAsia="Times New Roman" w:hAnsi="Times New Roman"/>
                  <w:sz w:val="18"/>
                  <w:szCs w:val="18"/>
                  <w:b w:val="1"/>
                  <w:bCs w:val="1"/>
                  <w:u w:val="single" w:color="auto"/>
                  <w:color w:val="0000FF"/>
                </w:rPr>
                <w:t>Part II. Other Information</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36">
              <w:r>
                <w:rPr>
                  <w:rFonts w:ascii="Times New Roman" w:cs="Times New Roman" w:eastAsia="Times New Roman" w:hAnsi="Times New Roman"/>
                  <w:sz w:val="18"/>
                  <w:szCs w:val="18"/>
                  <w:color w:val="auto"/>
                </w:rPr>
                <w:t>34</w:t>
              </w:r>
            </w:hyperlink>
          </w:p>
        </w:tc>
      </w:tr>
      <w:tr>
        <w:trPr>
          <w:trHeight w:val="229"/>
        </w:trPr>
        <w:tc>
          <w:tcPr>
            <w:tcW w:w="10580" w:type="dxa"/>
            <w:vAlign w:val="bottom"/>
          </w:tcPr>
          <w:p>
            <w:pPr>
              <w:ind w:left="14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Item 1. Legal Proceedings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37">
              <w:r>
                <w:rPr>
                  <w:rFonts w:ascii="Times New Roman" w:cs="Times New Roman" w:eastAsia="Times New Roman" w:hAnsi="Times New Roman"/>
                  <w:sz w:val="18"/>
                  <w:szCs w:val="18"/>
                  <w:color w:val="auto"/>
                </w:rPr>
                <w:t>34</w:t>
              </w:r>
            </w:hyperlink>
          </w:p>
        </w:tc>
      </w:tr>
      <w:tr>
        <w:trPr>
          <w:trHeight w:val="230"/>
        </w:trPr>
        <w:tc>
          <w:tcPr>
            <w:tcW w:w="10580" w:type="dxa"/>
            <w:vAlign w:val="bottom"/>
          </w:tcPr>
          <w:p>
            <w:pPr>
              <w:ind w:left="14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Item 1A. Risk Factors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37">
              <w:r>
                <w:rPr>
                  <w:rFonts w:ascii="Times New Roman" w:cs="Times New Roman" w:eastAsia="Times New Roman" w:hAnsi="Times New Roman"/>
                  <w:sz w:val="18"/>
                  <w:szCs w:val="18"/>
                  <w:color w:val="auto"/>
                </w:rPr>
                <w:t>34</w:t>
              </w:r>
            </w:hyperlink>
          </w:p>
        </w:tc>
      </w:tr>
      <w:tr>
        <w:trPr>
          <w:trHeight w:val="229"/>
        </w:trPr>
        <w:tc>
          <w:tcPr>
            <w:tcW w:w="10580" w:type="dxa"/>
            <w:vAlign w:val="bottom"/>
          </w:tcPr>
          <w:p>
            <w:pPr>
              <w:ind w:left="14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Item 2. Unregistered Sales of Equity Securities and Use of Proceeds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56">
              <w:r>
                <w:rPr>
                  <w:rFonts w:ascii="Times New Roman" w:cs="Times New Roman" w:eastAsia="Times New Roman" w:hAnsi="Times New Roman"/>
                  <w:sz w:val="18"/>
                  <w:szCs w:val="18"/>
                  <w:color w:val="auto"/>
                </w:rPr>
                <w:t>53</w:t>
              </w:r>
            </w:hyperlink>
          </w:p>
        </w:tc>
      </w:tr>
      <w:tr>
        <w:trPr>
          <w:trHeight w:val="230"/>
        </w:trPr>
        <w:tc>
          <w:tcPr>
            <w:tcW w:w="10580" w:type="dxa"/>
            <w:vAlign w:val="bottom"/>
          </w:tcPr>
          <w:p>
            <w:pPr>
              <w:ind w:left="14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Item 3. Defaults Upon Senior Securities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56">
              <w:r>
                <w:rPr>
                  <w:rFonts w:ascii="Times New Roman" w:cs="Times New Roman" w:eastAsia="Times New Roman" w:hAnsi="Times New Roman"/>
                  <w:sz w:val="18"/>
                  <w:szCs w:val="18"/>
                  <w:color w:val="auto"/>
                </w:rPr>
                <w:t>53</w:t>
              </w:r>
            </w:hyperlink>
          </w:p>
        </w:tc>
      </w:tr>
      <w:tr>
        <w:trPr>
          <w:trHeight w:val="230"/>
        </w:trPr>
        <w:tc>
          <w:tcPr>
            <w:tcW w:w="10580" w:type="dxa"/>
            <w:vAlign w:val="bottom"/>
          </w:tcPr>
          <w:p>
            <w:pPr>
              <w:ind w:left="14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Item 4. Mine Safety Disclosures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56">
              <w:r>
                <w:rPr>
                  <w:rFonts w:ascii="Times New Roman" w:cs="Times New Roman" w:eastAsia="Times New Roman" w:hAnsi="Times New Roman"/>
                  <w:sz w:val="18"/>
                  <w:szCs w:val="18"/>
                  <w:color w:val="auto"/>
                </w:rPr>
                <w:t>53</w:t>
              </w:r>
            </w:hyperlink>
          </w:p>
        </w:tc>
      </w:tr>
      <w:tr>
        <w:trPr>
          <w:trHeight w:val="230"/>
        </w:trPr>
        <w:tc>
          <w:tcPr>
            <w:tcW w:w="10580" w:type="dxa"/>
            <w:vAlign w:val="bottom"/>
          </w:tcPr>
          <w:p>
            <w:pPr>
              <w:ind w:left="14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Item 5. Other Information</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56">
              <w:r>
                <w:rPr>
                  <w:rFonts w:ascii="Times New Roman" w:cs="Times New Roman" w:eastAsia="Times New Roman" w:hAnsi="Times New Roman"/>
                  <w:sz w:val="18"/>
                  <w:szCs w:val="18"/>
                  <w:color w:val="auto"/>
                </w:rPr>
                <w:t>53</w:t>
              </w:r>
            </w:hyperlink>
          </w:p>
        </w:tc>
      </w:tr>
      <w:tr>
        <w:trPr>
          <w:trHeight w:val="229"/>
        </w:trPr>
        <w:tc>
          <w:tcPr>
            <w:tcW w:w="10580" w:type="dxa"/>
            <w:vAlign w:val="bottom"/>
          </w:tcPr>
          <w:p>
            <w:pPr>
              <w:ind w:left="14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Item 6. Exhibits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56">
              <w:r>
                <w:rPr>
                  <w:rFonts w:ascii="Times New Roman" w:cs="Times New Roman" w:eastAsia="Times New Roman" w:hAnsi="Times New Roman"/>
                  <w:sz w:val="18"/>
                  <w:szCs w:val="18"/>
                  <w:color w:val="auto"/>
                </w:rPr>
                <w:t>54</w:t>
              </w:r>
            </w:hyperlink>
          </w:p>
        </w:tc>
      </w:tr>
      <w:tr>
        <w:trPr>
          <w:trHeight w:val="234"/>
        </w:trPr>
        <w:tc>
          <w:tcPr>
            <w:tcW w:w="10580" w:type="dxa"/>
            <w:vAlign w:val="bottom"/>
          </w:tcPr>
          <w:p>
            <w:pPr>
              <w:ind w:left="140"/>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Signatures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57">
              <w:r>
                <w:rPr>
                  <w:rFonts w:ascii="Times New Roman" w:cs="Times New Roman" w:eastAsia="Times New Roman" w:hAnsi="Times New Roman"/>
                  <w:sz w:val="18"/>
                  <w:szCs w:val="18"/>
                  <w:color w:val="auto"/>
                </w:rPr>
                <w:t>55</w:t>
              </w:r>
            </w:hyperlink>
          </w:p>
        </w:tc>
      </w:tr>
      <w:tr>
        <w:trPr>
          <w:trHeight w:val="1006"/>
        </w:trPr>
        <w:tc>
          <w:tcPr>
            <w:tcW w:w="10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120" w:firstLine="891"/>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are based on our beliefs and assumptions and on information currently available to us. Forward-looking statements include information concerning our possible or assumed future results of operations and expenses,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w:t>
      </w:r>
    </w:p>
    <w:p>
      <w:pPr>
        <w:spacing w:after="0" w:line="187"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w:t>
      </w:r>
    </w:p>
    <w:p>
      <w:pPr>
        <w:spacing w:after="0" w:line="180" w:lineRule="exact"/>
        <w:rPr>
          <w:sz w:val="20"/>
          <w:szCs w:val="20"/>
          <w:color w:val="auto"/>
        </w:rPr>
      </w:pPr>
    </w:p>
    <w:p>
      <w:pPr>
        <w:ind w:right="420" w:firstLine="891"/>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76"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As used in this report, the terms “nCino,” the “Company,” “Registrant,” “we,” “us,” and “our” mean nCino, Inc. and its subsidiaries unless the context indicates otherwise.</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5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220" w:type="dxa"/>
            <w:vAlign w:val="bottom"/>
          </w:tcPr>
          <w:p>
            <w:pPr>
              <w:spacing w:after="0"/>
              <w:rPr>
                <w:sz w:val="16"/>
                <w:szCs w:val="16"/>
                <w:color w:val="auto"/>
              </w:rPr>
            </w:pPr>
          </w:p>
        </w:tc>
        <w:tc>
          <w:tcPr>
            <w:tcW w:w="11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0" w:type="dxa"/>
            <w:vAlign w:val="bottom"/>
          </w:tcPr>
          <w:p>
            <w:pPr>
              <w:spacing w:after="0"/>
              <w:rPr>
                <w:sz w:val="1"/>
                <w:szCs w:val="1"/>
                <w:color w:val="auto"/>
              </w:rPr>
            </w:pPr>
          </w:p>
        </w:tc>
      </w:tr>
      <w:tr>
        <w:trPr>
          <w:trHeight w:val="201"/>
        </w:trPr>
        <w:tc>
          <w:tcPr>
            <w:tcW w:w="8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and cash equivalents (VIE: $8,892 and $8,635 at January 31, 2020 and July 31, 2020, 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91,184</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388,191</w:t>
            </w:r>
          </w:p>
        </w:tc>
        <w:tc>
          <w:tcPr>
            <w:tcW w:w="0" w:type="dxa"/>
            <w:vAlign w:val="bottom"/>
          </w:tcPr>
          <w:p>
            <w:pPr>
              <w:spacing w:after="0"/>
              <w:rPr>
                <w:sz w:val="1"/>
                <w:szCs w:val="1"/>
                <w:color w:val="auto"/>
              </w:rPr>
            </w:pPr>
          </w:p>
        </w:tc>
      </w:tr>
      <w:tr>
        <w:trPr>
          <w:trHeight w:val="175"/>
        </w:trPr>
        <w:tc>
          <w:tcPr>
            <w:tcW w:w="830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Accounts receivable, less allowance for doubtful accounts of $0 and $622 at January 31, 2020 and July 31,</w:t>
            </w: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34,205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30,228</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2020, respectively</w:t>
            </w:r>
          </w:p>
        </w:tc>
        <w:tc>
          <w:tcPr>
            <w:tcW w:w="1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receivable, related parties</w:t>
            </w:r>
          </w:p>
        </w:tc>
        <w:tc>
          <w:tcPr>
            <w:tcW w:w="1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9,201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Costs capitalized to obtain revenue contracts, current portion, net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3,608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0" w:type="dxa"/>
            <w:vAlign w:val="bottom"/>
          </w:tcPr>
          <w:p>
            <w:pPr>
              <w:spacing w:after="0"/>
              <w:rPr>
                <w:sz w:val="1"/>
                <w:szCs w:val="1"/>
                <w:color w:val="auto"/>
              </w:rPr>
            </w:pPr>
          </w:p>
        </w:tc>
      </w:tr>
      <w:tr>
        <w:trPr>
          <w:trHeight w:val="243"/>
        </w:trPr>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7,079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3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145,277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429,578</w:t>
            </w:r>
          </w:p>
        </w:tc>
        <w:tc>
          <w:tcPr>
            <w:tcW w:w="0" w:type="dxa"/>
            <w:vAlign w:val="bottom"/>
          </w:tcPr>
          <w:p>
            <w:pPr>
              <w:spacing w:after="0"/>
              <w:rPr>
                <w:sz w:val="1"/>
                <w:szCs w:val="1"/>
                <w:color w:val="auto"/>
              </w:rPr>
            </w:pPr>
          </w:p>
        </w:tc>
      </w:tr>
      <w:tr>
        <w:trPr>
          <w:trHeight w:val="237"/>
        </w:trPr>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13,477</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Costs capitalized to obtain revenue contracts, noncurrent, net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0" w:type="dxa"/>
            <w:vAlign w:val="bottom"/>
          </w:tcPr>
          <w:p>
            <w:pPr>
              <w:spacing w:after="0"/>
              <w:rPr>
                <w:sz w:val="1"/>
                <w:szCs w:val="1"/>
                <w:color w:val="auto"/>
              </w:rPr>
            </w:pPr>
          </w:p>
        </w:tc>
      </w:tr>
      <w:tr>
        <w:trPr>
          <w:trHeight w:val="243"/>
        </w:trPr>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55,840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56,527</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26,093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24,636</w:t>
            </w:r>
          </w:p>
        </w:tc>
        <w:tc>
          <w:tcPr>
            <w:tcW w:w="0" w:type="dxa"/>
            <w:vAlign w:val="bottom"/>
          </w:tcPr>
          <w:p>
            <w:pPr>
              <w:spacing w:after="0"/>
              <w:rPr>
                <w:sz w:val="1"/>
                <w:szCs w:val="1"/>
                <w:color w:val="auto"/>
              </w:rPr>
            </w:pPr>
          </w:p>
        </w:tc>
      </w:tr>
      <w:tr>
        <w:trPr>
          <w:trHeight w:val="243"/>
        </w:trPr>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3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250,151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533,799</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1,258</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 related parties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3,408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0" w:type="dxa"/>
            <w:vAlign w:val="bottom"/>
          </w:tcPr>
          <w:p>
            <w:pPr>
              <w:spacing w:after="0"/>
              <w:rPr>
                <w:sz w:val="1"/>
                <w:szCs w:val="1"/>
                <w:color w:val="auto"/>
              </w:rPr>
            </w:pPr>
          </w:p>
        </w:tc>
      </w:tr>
      <w:tr>
        <w:trPr>
          <w:trHeight w:val="243"/>
        </w:trPr>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commissions</w:t>
            </w:r>
          </w:p>
        </w:tc>
        <w:tc>
          <w:tcPr>
            <w:tcW w:w="1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7,862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4,922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0" w:type="dxa"/>
            <w:vAlign w:val="bottom"/>
          </w:tcPr>
          <w:p>
            <w:pPr>
              <w:spacing w:after="0"/>
              <w:rPr>
                <w:sz w:val="1"/>
                <w:szCs w:val="1"/>
                <w:color w:val="auto"/>
              </w:rPr>
            </w:pPr>
          </w:p>
        </w:tc>
      </w:tr>
      <w:tr>
        <w:trPr>
          <w:trHeight w:val="243"/>
        </w:trPr>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rent, current portion</w:t>
            </w:r>
          </w:p>
        </w:tc>
        <w:tc>
          <w:tcPr>
            <w:tcW w:w="1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50,929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84,288</w:t>
            </w:r>
          </w:p>
        </w:tc>
        <w:tc>
          <w:tcPr>
            <w:tcW w:w="0" w:type="dxa"/>
            <w:vAlign w:val="bottom"/>
          </w:tcPr>
          <w:p>
            <w:pPr>
              <w:spacing w:after="0"/>
              <w:rPr>
                <w:sz w:val="1"/>
                <w:szCs w:val="1"/>
                <w:color w:val="auto"/>
              </w:rPr>
            </w:pPr>
          </w:p>
        </w:tc>
      </w:tr>
      <w:tr>
        <w:trPr>
          <w:trHeight w:val="243"/>
        </w:trPr>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revenue, current portion, related parties</w:t>
            </w:r>
          </w:p>
        </w:tc>
        <w:tc>
          <w:tcPr>
            <w:tcW w:w="1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8,013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76,575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100,223</w:t>
            </w:r>
          </w:p>
        </w:tc>
        <w:tc>
          <w:tcPr>
            <w:tcW w:w="0" w:type="dxa"/>
            <w:vAlign w:val="bottom"/>
          </w:tcPr>
          <w:p>
            <w:pPr>
              <w:spacing w:after="0"/>
              <w:rPr>
                <w:sz w:val="1"/>
                <w:szCs w:val="1"/>
                <w:color w:val="auto"/>
              </w:rPr>
            </w:pPr>
          </w:p>
        </w:tc>
      </w:tr>
      <w:tr>
        <w:trPr>
          <w:trHeight w:val="243"/>
        </w:trPr>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rent, 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43"/>
        </w:trPr>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3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78,522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101,925</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8, 11 and 12)</w:t>
            </w: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 (Note 3)</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4,356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30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1,000,000 and 10,000,000 shares authorized as of January 31, 2020 and</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shd w:val="clear" w:color="auto" w:fill="CCEEFF"/>
          </w:tcPr>
          <w:p>
            <w:pPr>
              <w:ind w:left="620"/>
              <w:spacing w:after="0" w:line="176" w:lineRule="exact"/>
              <w:rPr>
                <w:sz w:val="20"/>
                <w:szCs w:val="20"/>
                <w:color w:val="auto"/>
              </w:rPr>
            </w:pPr>
            <w:r>
              <w:rPr>
                <w:rFonts w:ascii="Times New Roman" w:cs="Times New Roman" w:eastAsia="Times New Roman" w:hAnsi="Times New Roman"/>
                <w:sz w:val="18"/>
                <w:szCs w:val="18"/>
                <w:color w:val="auto"/>
              </w:rPr>
              <w:t>July 31, 2020, respectively; and none issued and outstanding as of January 31, 2020 and July 31, 2020,</w:t>
            </w:r>
          </w:p>
        </w:tc>
        <w:tc>
          <w:tcPr>
            <w:tcW w:w="16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$0.0005 par value; 0 and 500,000,000 shares authorized as of January 31, 2020 and July 31,</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620"/>
              <w:spacing w:after="0" w:line="176" w:lineRule="exact"/>
              <w:rPr>
                <w:sz w:val="20"/>
                <w:szCs w:val="20"/>
                <w:color w:val="auto"/>
              </w:rPr>
            </w:pPr>
            <w:r>
              <w:rPr>
                <w:rFonts w:ascii="Times New Roman" w:cs="Times New Roman" w:eastAsia="Times New Roman" w:hAnsi="Times New Roman"/>
                <w:sz w:val="18"/>
                <w:szCs w:val="18"/>
                <w:color w:val="auto"/>
              </w:rPr>
              <w:t>2020, respectively; 0 and 91,122,356 shares issued and outstanding as of January 31, 2020 and July 31,</w:t>
            </w:r>
          </w:p>
        </w:tc>
        <w:tc>
          <w:tcPr>
            <w:tcW w:w="16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83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2020, respectively</w:t>
            </w: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0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Voting common stock, $0.0005 par value; 99,708,247 and 0 shares authorized as of January 31, 2020 and</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ind w:left="620"/>
              <w:spacing w:after="0" w:line="176" w:lineRule="exact"/>
              <w:rPr>
                <w:sz w:val="20"/>
                <w:szCs w:val="20"/>
                <w:color w:val="auto"/>
              </w:rPr>
            </w:pPr>
            <w:r>
              <w:rPr>
                <w:rFonts w:ascii="Times New Roman" w:cs="Times New Roman" w:eastAsia="Times New Roman" w:hAnsi="Times New Roman"/>
                <w:sz w:val="18"/>
                <w:szCs w:val="18"/>
                <w:color w:val="auto"/>
              </w:rPr>
              <w:t>July 31, 2020, respectively; 75,596,007 and 0 shares issued and outstanding as of January 31, 2020 and</w:t>
            </w: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July 31, 2020, respectively</w:t>
            </w:r>
          </w:p>
        </w:tc>
        <w:tc>
          <w:tcPr>
            <w:tcW w:w="1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Non-voting common stock, $0.0005 par value; 10,291,753 and 0 shares authorized as of January 31, 2020</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and July 31, 2020, respectively; 5,931,319 and 0 shares issued and outstanding as of January 31, 2020 and</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July 31, 2020, respectively</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288,564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567,314</w:t>
            </w:r>
          </w:p>
        </w:tc>
        <w:tc>
          <w:tcPr>
            <w:tcW w:w="0" w:type="dxa"/>
            <w:vAlign w:val="bottom"/>
          </w:tcPr>
          <w:p>
            <w:pPr>
              <w:spacing w:after="0"/>
              <w:rPr>
                <w:sz w:val="1"/>
                <w:szCs w:val="1"/>
                <w:color w:val="auto"/>
              </w:rPr>
            </w:pPr>
          </w:p>
        </w:tc>
      </w:tr>
      <w:tr>
        <w:trPr>
          <w:trHeight w:val="243"/>
        </w:trPr>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(140,072)</w:t>
            </w:r>
          </w:p>
        </w:tc>
        <w:tc>
          <w:tcPr>
            <w:tcW w:w="0" w:type="dxa"/>
            <w:vAlign w:val="bottom"/>
          </w:tcPr>
          <w:p>
            <w:pPr>
              <w:spacing w:after="0"/>
              <w:rPr>
                <w:sz w:val="1"/>
                <w:szCs w:val="1"/>
                <w:color w:val="auto"/>
              </w:rPr>
            </w:pPr>
          </w:p>
        </w:tc>
      </w:tr>
      <w:tr>
        <w:trPr>
          <w:trHeight w:val="236"/>
        </w:trPr>
        <w:tc>
          <w:tcPr>
            <w:tcW w:w="8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167,273</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427,490</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3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250,151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533,799</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497"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497"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5180" w:type="dxa"/>
        <w:tblCellMar>
          <w:top w:w="0" w:type="dxa"/>
          <w:left w:w="0" w:type="dxa"/>
          <w:bottom w:w="0" w:type="dxa"/>
          <w:right w:w="0" w:type="dxa"/>
        </w:tblCellMar>
      </w:tblPr>
      <w:tr>
        <w:trPr>
          <w:trHeight w:val="195"/>
        </w:trPr>
        <w:tc>
          <w:tcPr>
            <w:tcW w:w="30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980" w:type="dxa"/>
            <w:vAlign w:val="bottom"/>
            <w:gridSpan w:val="2"/>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91"/>
        </w:trPr>
        <w:tc>
          <w:tcPr>
            <w:tcW w:w="150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80" w:type="dxa"/>
            <w:vAlign w:val="bottom"/>
            <w:tcBorders>
              <w:top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480" w:type="dxa"/>
            <w:vAlign w:val="bottom"/>
            <w:tcBorders>
              <w:top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500" w:type="dxa"/>
            <w:vAlign w:val="bottom"/>
            <w:tcBorders>
              <w:top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 (related parties $2,112, $0, $3,867 and $2,439,</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Professional services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 w:lineRule="exact"/>
        <w:rPr>
          <w:sz w:val="20"/>
          <w:szCs w:val="20"/>
          <w:color w:val="auto"/>
        </w:rPr>
      </w:pPr>
    </w:p>
    <w:p>
      <w:pPr>
        <w:ind w:left="360" w:right="220"/>
        <w:spacing w:after="0" w:line="208" w:lineRule="auto"/>
        <w:rPr>
          <w:sz w:val="20"/>
          <w:szCs w:val="20"/>
          <w:color w:val="auto"/>
        </w:rPr>
      </w:pPr>
      <w:r>
        <w:rPr>
          <w:rFonts w:ascii="Times New Roman" w:cs="Times New Roman" w:eastAsia="Times New Roman" w:hAnsi="Times New Roman"/>
          <w:sz w:val="18"/>
          <w:szCs w:val="18"/>
          <w:color w:val="auto"/>
        </w:rPr>
        <w:t>Subscription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(related party $5,361, $8,700, $10,420 and $16,210,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Professional services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23,110</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39,351</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44,142</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74,182</w:t>
            </w:r>
          </w:p>
        </w:tc>
      </w:tr>
      <w:tr>
        <w:trPr>
          <w:trHeight w:val="270"/>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8,868</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19,295</w:t>
            </w:r>
          </w:p>
        </w:tc>
      </w:tr>
      <w:tr>
        <w:trPr>
          <w:trHeight w:val="27"/>
        </w:trPr>
        <w:tc>
          <w:tcPr>
            <w:tcW w:w="6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31,978</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93,477</w:t>
            </w:r>
          </w:p>
        </w:tc>
      </w:tr>
      <w:tr>
        <w:trPr>
          <w:trHeight w:val="675"/>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7,083</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22,019</w:t>
            </w:r>
          </w:p>
        </w:tc>
      </w:tr>
      <w:tr>
        <w:trPr>
          <w:trHeight w:val="270"/>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7,687</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17145</wp:posOffset>
            </wp:positionV>
            <wp:extent cx="38487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4873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-762635</wp:posOffset>
            </wp:positionV>
            <wp:extent cx="9175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5320" w:space="720"/>
            <w:col w:w="52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cost of revenues</w:t>
            </w: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22,587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28,808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41,453</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33,006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52,024</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18,468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27,852</w:t>
            </w:r>
          </w:p>
        </w:tc>
        <w:tc>
          <w:tcPr>
            <w:tcW w:w="0" w:type="dxa"/>
            <w:vAlign w:val="bottom"/>
          </w:tcPr>
          <w:p>
            <w:pPr>
              <w:spacing w:after="0"/>
              <w:rPr>
                <w:sz w:val="1"/>
                <w:szCs w:val="1"/>
                <w:color w:val="auto"/>
              </w:rPr>
            </w:pPr>
          </w:p>
        </w:tc>
      </w:tr>
      <w:tr>
        <w:trPr>
          <w:trHeight w:val="270"/>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15,292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15,638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26,257</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10,339</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0" w:type="dxa"/>
            <w:vAlign w:val="bottom"/>
          </w:tcPr>
          <w:p>
            <w:pPr>
              <w:spacing w:after="0"/>
              <w:rPr>
                <w:sz w:val="1"/>
                <w:szCs w:val="1"/>
                <w:color w:val="auto"/>
              </w:rPr>
            </w:pPr>
          </w:p>
        </w:tc>
      </w:tr>
      <w:tr>
        <w:trPr>
          <w:trHeight w:val="236"/>
        </w:trPr>
        <w:tc>
          <w:tcPr>
            <w:tcW w:w="4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25,155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41,871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44,445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(11,439)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(19,964)</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3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43"/>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w:t>
            </w:r>
          </w:p>
        </w:tc>
        <w:tc>
          <w:tcPr>
            <w:tcW w:w="0" w:type="dxa"/>
            <w:vAlign w:val="bottom"/>
          </w:tcPr>
          <w:p>
            <w:pPr>
              <w:spacing w:after="0"/>
              <w:rPr>
                <w:sz w:val="1"/>
                <w:szCs w:val="1"/>
                <w:color w:val="auto"/>
              </w:rPr>
            </w:pPr>
          </w:p>
        </w:tc>
      </w:tr>
      <w:tr>
        <w:trPr>
          <w:trHeight w:val="243"/>
        </w:trPr>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202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(19,556)</w:t>
            </w:r>
          </w:p>
        </w:tc>
        <w:tc>
          <w:tcPr>
            <w:tcW w:w="0" w:type="dxa"/>
            <w:vAlign w:val="bottom"/>
          </w:tcPr>
          <w:p>
            <w:pPr>
              <w:spacing w:after="0"/>
              <w:rPr>
                <w:sz w:val="1"/>
                <w:szCs w:val="1"/>
                <w:color w:val="auto"/>
              </w:rPr>
            </w:pPr>
          </w:p>
        </w:tc>
      </w:tr>
      <w:tr>
        <w:trPr>
          <w:trHeight w:val="225"/>
        </w:trPr>
        <w:tc>
          <w:tcPr>
            <w:tcW w:w="57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 (Note</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7"/>
        </w:trPr>
        <w:tc>
          <w:tcPr>
            <w:tcW w:w="51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7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Adjustment attributable to redeemable non-controlling interest</w:t>
            </w: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(Note 3)</w:t>
            </w:r>
          </w:p>
        </w:tc>
        <w:tc>
          <w:tcPr>
            <w:tcW w:w="3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63"/>
        </w:trPr>
        <w:tc>
          <w:tcPr>
            <w:tcW w:w="48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Net loss attributable to nCino, Inc.</w:t>
            </w:r>
          </w:p>
        </w:tc>
        <w:tc>
          <w:tcPr>
            <w:tcW w:w="3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(14,646)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(11,921)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(19,415)</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nCino, Inc.:</w:t>
            </w:r>
          </w:p>
        </w:tc>
        <w:tc>
          <w:tcPr>
            <w:tcW w:w="3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 and diluted</w:t>
            </w:r>
          </w:p>
        </w:tc>
        <w:tc>
          <w:tcPr>
            <w:tcW w:w="9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(0.16)</w:t>
            </w:r>
          </w:p>
        </w:tc>
        <w:tc>
          <w:tcPr>
            <w:tcW w:w="20" w:type="dxa"/>
            <w:vAlign w:val="bottom"/>
          </w:tcPr>
          <w:p>
            <w:pPr>
              <w:spacing w:after="0"/>
              <w:rPr>
                <w:sz w:val="23"/>
                <w:szCs w:val="23"/>
                <w:color w:val="auto"/>
              </w:rPr>
            </w:pP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3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76,420,098</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84,629,777</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76,206,900</w:t>
            </w:r>
          </w:p>
        </w:tc>
        <w:tc>
          <w:tcPr>
            <w:tcW w:w="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83,112,132</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stock-based compensation expense as follows:</w:t>
            </w: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4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5"/>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49"/>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revenues</w:t>
            </w: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0" w:type="dxa"/>
            <w:vAlign w:val="bottom"/>
          </w:tcPr>
          <w:p>
            <w:pPr>
              <w:spacing w:after="0"/>
              <w:rPr>
                <w:sz w:val="1"/>
                <w:szCs w:val="1"/>
                <w:color w:val="auto"/>
              </w:rPr>
            </w:pP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8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3,601</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16"/>
                <w:szCs w:val="16"/>
                <w:color w:val="auto"/>
              </w:rPr>
            </w:pPr>
          </w:p>
        </w:tc>
        <w:tc>
          <w:tcPr>
            <w:tcW w:w="246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96"/>
        </w:trPr>
        <w:tc>
          <w:tcPr>
            <w:tcW w:w="56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(19,556)</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37"/>
        </w:trPr>
        <w:tc>
          <w:tcPr>
            <w:tcW w:w="56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56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w:t>
            </w:r>
          </w:p>
        </w:tc>
      </w:tr>
      <w:tr>
        <w:trPr>
          <w:trHeight w:val="201"/>
        </w:trPr>
        <w:tc>
          <w:tcPr>
            <w:tcW w:w="56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Less comprehensive loss attributable to redeemable non-controlling</w:t>
            </w: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5"/>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attributable to redeemable non-controlling</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1"/>
        </w:trPr>
        <w:tc>
          <w:tcPr>
            <w:tcW w:w="5620" w:type="dxa"/>
            <w:vAlign w:val="bottom"/>
            <w:shd w:val="clear" w:color="auto" w:fill="CCEEFF"/>
          </w:tcPr>
          <w:p>
            <w:pPr>
              <w:ind w:left="660"/>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loss attributable to redeemable non-controlling</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65"/>
        </w:trPr>
        <w:tc>
          <w:tcPr>
            <w:tcW w:w="56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63"/>
        </w:trPr>
        <w:tc>
          <w:tcPr>
            <w:tcW w:w="56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nCino, Inc.</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(18,538)</w:t>
            </w:r>
          </w:p>
        </w:tc>
      </w:tr>
      <w:tr>
        <w:trPr>
          <w:trHeight w:val="21"/>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July 31, 2019</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3"/>
          </w:tcPr>
          <w:p>
            <w:pPr>
              <w:jc w:val="center"/>
              <w:ind w:right="268"/>
              <w:spacing w:after="0" w:line="151" w:lineRule="exact"/>
              <w:rPr>
                <w:sz w:val="20"/>
                <w:szCs w:val="20"/>
                <w:color w:val="auto"/>
              </w:rPr>
            </w:pPr>
            <w:r>
              <w:rPr>
                <w:rFonts w:ascii="Times New Roman" w:cs="Times New Roman" w:eastAsia="Times New Roman" w:hAnsi="Times New Roman"/>
                <w:sz w:val="14"/>
                <w:szCs w:val="14"/>
                <w:color w:val="auto"/>
                <w:w w:val="97"/>
              </w:rPr>
              <w:t>Voting</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3"/>
          </w:tcPr>
          <w:p>
            <w:pPr>
              <w:jc w:val="center"/>
              <w:ind w:left="248"/>
              <w:spacing w:after="0" w:line="151" w:lineRule="exact"/>
              <w:rPr>
                <w:sz w:val="20"/>
                <w:szCs w:val="20"/>
                <w:color w:val="auto"/>
              </w:rPr>
            </w:pPr>
            <w:r>
              <w:rPr>
                <w:rFonts w:ascii="Times New Roman" w:cs="Times New Roman" w:eastAsia="Times New Roman" w:hAnsi="Times New Roman"/>
                <w:sz w:val="14"/>
                <w:szCs w:val="14"/>
                <w:color w:val="auto"/>
              </w:rPr>
              <w:t>Non-voting</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Additional</w:t>
            </w:r>
          </w:p>
        </w:tc>
        <w:tc>
          <w:tcPr>
            <w:tcW w:w="300" w:type="dxa"/>
            <w:vAlign w:val="bottom"/>
          </w:tcPr>
          <w:p>
            <w:pPr>
              <w:spacing w:after="0"/>
              <w:rPr>
                <w:sz w:val="13"/>
                <w:szCs w:val="13"/>
                <w:color w:val="auto"/>
              </w:rPr>
            </w:pPr>
          </w:p>
        </w:tc>
        <w:tc>
          <w:tcPr>
            <w:tcW w:w="7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1400" w:type="dxa"/>
            <w:vAlign w:val="bottom"/>
            <w:gridSpan w:val="4"/>
            <w:vMerge w:val="restart"/>
          </w:tcPr>
          <w:p>
            <w:pPr>
              <w:jc w:val="center"/>
              <w:ind w:left="268"/>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3"/>
            <w:vMerge w:val="restart"/>
          </w:tcPr>
          <w:p>
            <w:pPr>
              <w:jc w:val="center"/>
              <w:ind w:left="248"/>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rPr>
                <w:sz w:val="10"/>
                <w:szCs w:val="10"/>
                <w:color w:val="auto"/>
              </w:rPr>
            </w:pPr>
          </w:p>
        </w:tc>
        <w:tc>
          <w:tcPr>
            <w:tcW w:w="1400" w:type="dxa"/>
            <w:vAlign w:val="bottom"/>
            <w:tcBorders>
              <w:bottom w:val="single" w:sz="8" w:color="auto"/>
            </w:tcBorders>
            <w:gridSpan w:val="4"/>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Borders>
              <w:bottom w:val="single" w:sz="8" w:color="auto"/>
            </w:tcBorders>
            <w:gridSpan w:val="3"/>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color w:val="auto"/>
              </w:rPr>
              <w:t>Paid-in</w:t>
            </w:r>
          </w:p>
        </w:tc>
        <w:tc>
          <w:tcPr>
            <w:tcW w:w="104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4"/>
                <w:szCs w:val="14"/>
                <w:color w:val="auto"/>
              </w:rPr>
              <w:t>Comprehensive</w:t>
            </w:r>
          </w:p>
        </w:tc>
        <w:tc>
          <w:tcPr>
            <w:tcW w:w="1020" w:type="dxa"/>
            <w:vAlign w:val="bottom"/>
            <w:gridSpan w:val="3"/>
          </w:tcPr>
          <w:p>
            <w:pPr>
              <w:jc w:val="right"/>
              <w:ind w:right="160"/>
              <w:spacing w:after="0" w:line="125" w:lineRule="exact"/>
              <w:rPr>
                <w:sz w:val="20"/>
                <w:szCs w:val="20"/>
                <w:color w:val="auto"/>
              </w:rPr>
            </w:pPr>
            <w:r>
              <w:rPr>
                <w:rFonts w:ascii="Times New Roman" w:cs="Times New Roman" w:eastAsia="Times New Roman" w:hAnsi="Times New Roman"/>
                <w:sz w:val="14"/>
                <w:szCs w:val="14"/>
                <w:color w:val="auto"/>
              </w:rPr>
              <w:t>Accumulated</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37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Capital</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Income (Loss)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Deficit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1"/>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April 30, 2019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70,318,021</w:t>
            </w:r>
          </w:p>
        </w:tc>
        <w:tc>
          <w:tcPr>
            <w:tcW w:w="720" w:type="dxa"/>
            <w:vAlign w:val="bottom"/>
            <w:gridSpan w:val="3"/>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5,701,435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172,152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(96,749)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75,478</w:t>
            </w:r>
          </w:p>
        </w:tc>
        <w:tc>
          <w:tcPr>
            <w:tcW w:w="0" w:type="dxa"/>
            <w:vAlign w:val="bottom"/>
          </w:tcPr>
          <w:p>
            <w:pPr>
              <w:spacing w:after="0"/>
              <w:rPr>
                <w:sz w:val="1"/>
                <w:szCs w:val="1"/>
                <w:color w:val="auto"/>
              </w:rPr>
            </w:pPr>
          </w:p>
        </w:tc>
      </w:tr>
      <w:tr>
        <w:trPr>
          <w:trHeight w:val="198"/>
        </w:trPr>
        <w:tc>
          <w:tcPr>
            <w:tcW w:w="3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 issuance related to business combinations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1,438,805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23,811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23,812</w:t>
            </w:r>
          </w:p>
        </w:tc>
        <w:tc>
          <w:tcPr>
            <w:tcW w:w="0" w:type="dxa"/>
            <w:vAlign w:val="bottom"/>
          </w:tcPr>
          <w:p>
            <w:pPr>
              <w:spacing w:after="0"/>
              <w:rPr>
                <w:sz w:val="1"/>
                <w:szCs w:val="1"/>
                <w:color w:val="auto"/>
              </w:rPr>
            </w:pPr>
          </w:p>
        </w:tc>
      </w:tr>
      <w:tr>
        <w:trPr>
          <w:trHeight w:val="207"/>
        </w:trPr>
        <w:tc>
          <w:tcPr>
            <w:tcW w:w="3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98"/>
        </w:trPr>
        <w:tc>
          <w:tcPr>
            <w:tcW w:w="3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2,492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2,492</w:t>
            </w:r>
          </w:p>
        </w:tc>
        <w:tc>
          <w:tcPr>
            <w:tcW w:w="0" w:type="dxa"/>
            <w:vAlign w:val="bottom"/>
          </w:tcPr>
          <w:p>
            <w:pPr>
              <w:spacing w:after="0"/>
              <w:rPr>
                <w:sz w:val="1"/>
                <w:szCs w:val="1"/>
                <w:color w:val="auto"/>
              </w:rPr>
            </w:pPr>
          </w:p>
        </w:tc>
      </w:tr>
      <w:tr>
        <w:trPr>
          <w:trHeight w:val="207"/>
        </w:trPr>
        <w:tc>
          <w:tcPr>
            <w:tcW w:w="3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198"/>
        </w:trPr>
        <w:tc>
          <w:tcPr>
            <w:tcW w:w="3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Net loss attributable to nCino, Inc.</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(8,502)</w:t>
            </w:r>
          </w:p>
        </w:tc>
        <w:tc>
          <w:tcPr>
            <w:tcW w:w="0" w:type="dxa"/>
            <w:vAlign w:val="bottom"/>
          </w:tcPr>
          <w:p>
            <w:pPr>
              <w:spacing w:after="0"/>
              <w:rPr>
                <w:sz w:val="1"/>
                <w:szCs w:val="1"/>
                <w:color w:val="auto"/>
              </w:rPr>
            </w:pPr>
          </w:p>
        </w:tc>
      </w:tr>
      <w:tr>
        <w:trPr>
          <w:trHeight w:val="221"/>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July 31, 2019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71,813,095</w:t>
            </w:r>
          </w:p>
        </w:tc>
        <w:tc>
          <w:tcPr>
            <w:tcW w:w="720" w:type="dxa"/>
            <w:vAlign w:val="bottom"/>
            <w:gridSpan w:val="3"/>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5,701,435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198,720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93,936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 2020</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ind w:left="568"/>
              <w:spacing w:after="0" w:line="151" w:lineRule="exact"/>
              <w:rPr>
                <w:sz w:val="20"/>
                <w:szCs w:val="20"/>
                <w:color w:val="auto"/>
              </w:rPr>
            </w:pPr>
            <w:r>
              <w:rPr>
                <w:rFonts w:ascii="Times New Roman" w:cs="Times New Roman" w:eastAsia="Times New Roman" w:hAnsi="Times New Roman"/>
                <w:sz w:val="14"/>
                <w:szCs w:val="14"/>
                <w:color w:val="auto"/>
                <w:w w:val="97"/>
              </w:rPr>
              <w:t>Voting</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5"/>
          </w:tcPr>
          <w:p>
            <w:pPr>
              <w:ind w:left="500"/>
              <w:spacing w:after="0" w:line="151" w:lineRule="exact"/>
              <w:rPr>
                <w:sz w:val="20"/>
                <w:szCs w:val="20"/>
                <w:color w:val="auto"/>
              </w:rPr>
            </w:pPr>
            <w:r>
              <w:rPr>
                <w:rFonts w:ascii="Times New Roman" w:cs="Times New Roman" w:eastAsia="Times New Roman" w:hAnsi="Times New Roman"/>
                <w:sz w:val="14"/>
                <w:szCs w:val="14"/>
                <w:color w:val="auto"/>
              </w:rPr>
              <w:t>Non-voting</w:t>
            </w:r>
          </w:p>
        </w:tc>
        <w:tc>
          <w:tcPr>
            <w:tcW w:w="120" w:type="dxa"/>
            <w:vAlign w:val="bottom"/>
          </w:tcPr>
          <w:p>
            <w:pPr>
              <w:spacing w:after="0"/>
              <w:rPr>
                <w:sz w:val="13"/>
                <w:szCs w:val="1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13"/>
                <w:szCs w:val="13"/>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1700" w:type="dxa"/>
            <w:vAlign w:val="bottom"/>
            <w:gridSpan w:val="4"/>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vMerge w:val="restart"/>
          </w:tcPr>
          <w:p>
            <w:pPr>
              <w:spacing w:after="0"/>
              <w:rPr>
                <w:sz w:val="5"/>
                <w:szCs w:val="5"/>
                <w:color w:val="auto"/>
              </w:rPr>
            </w:pPr>
          </w:p>
        </w:tc>
        <w:tc>
          <w:tcPr>
            <w:tcW w:w="17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5"/>
                <w:szCs w:val="5"/>
                <w:color w:val="auto"/>
              </w:rPr>
            </w:pPr>
          </w:p>
        </w:tc>
        <w:tc>
          <w:tcPr>
            <w:tcW w:w="1700" w:type="dxa"/>
            <w:vAlign w:val="bottom"/>
            <w:gridSpan w:val="4"/>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00" w:type="dxa"/>
            <w:vAlign w:val="bottom"/>
          </w:tcPr>
          <w:p>
            <w:pPr>
              <w:spacing w:after="0"/>
              <w:rPr>
                <w:sz w:val="10"/>
                <w:szCs w:val="10"/>
                <w:color w:val="auto"/>
              </w:rPr>
            </w:pPr>
          </w:p>
        </w:tc>
        <w:tc>
          <w:tcPr>
            <w:tcW w:w="170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72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color w:val="auto"/>
              </w:rPr>
              <w:t>Paid-in</w:t>
            </w:r>
          </w:p>
        </w:tc>
        <w:tc>
          <w:tcPr>
            <w:tcW w:w="104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4"/>
                <w:szCs w:val="14"/>
                <w:color w:val="auto"/>
              </w:rPr>
              <w:t>Comprehensive</w:t>
            </w:r>
          </w:p>
        </w:tc>
        <w:tc>
          <w:tcPr>
            <w:tcW w:w="1000" w:type="dxa"/>
            <w:vAlign w:val="bottom"/>
            <w:gridSpan w:val="3"/>
          </w:tcPr>
          <w:p>
            <w:pPr>
              <w:jc w:val="right"/>
              <w:ind w:right="160"/>
              <w:spacing w:after="0" w:line="125" w:lineRule="exact"/>
              <w:rPr>
                <w:sz w:val="20"/>
                <w:szCs w:val="20"/>
                <w:color w:val="auto"/>
              </w:rPr>
            </w:pPr>
            <w:r>
              <w:rPr>
                <w:rFonts w:ascii="Times New Roman" w:cs="Times New Roman" w:eastAsia="Times New Roman" w:hAnsi="Times New Roman"/>
                <w:sz w:val="14"/>
                <w:szCs w:val="14"/>
                <w:color w:val="auto"/>
              </w:rPr>
              <w:t>Accumulated</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Capital</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Income (Loss)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Deficit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April 30, 2020</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75,651,808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w w:val="99"/>
              </w:rPr>
              <w:t>38</w:t>
            </w:r>
          </w:p>
        </w:tc>
        <w:tc>
          <w:tcPr>
            <w:tcW w:w="8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5,931,319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289,624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163,898</w:t>
            </w:r>
          </w:p>
        </w:tc>
        <w:tc>
          <w:tcPr>
            <w:tcW w:w="0" w:type="dxa"/>
            <w:vAlign w:val="bottom"/>
          </w:tcPr>
          <w:p>
            <w:pPr>
              <w:spacing w:after="0"/>
              <w:rPr>
                <w:sz w:val="1"/>
                <w:szCs w:val="1"/>
                <w:color w:val="auto"/>
              </w:rPr>
            </w:pPr>
          </w:p>
        </w:tc>
      </w:tr>
      <w:tr>
        <w:trPr>
          <w:trHeight w:val="135"/>
        </w:trPr>
        <w:tc>
          <w:tcPr>
            <w:tcW w:w="200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Issuance of common stock</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520"/>
              <w:spacing w:after="0" w:line="135" w:lineRule="exact"/>
              <w:rPr>
                <w:sz w:val="20"/>
                <w:szCs w:val="20"/>
                <w:color w:val="auto"/>
              </w:rPr>
            </w:pPr>
            <w:r>
              <w:rPr>
                <w:rFonts w:ascii="Times New Roman" w:cs="Times New Roman" w:eastAsia="Times New Roman" w:hAnsi="Times New Roman"/>
                <w:sz w:val="14"/>
                <w:szCs w:val="14"/>
                <w:color w:val="auto"/>
              </w:rPr>
              <w:t>in connection with initial</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520"/>
              <w:spacing w:after="0" w:line="135" w:lineRule="exact"/>
              <w:rPr>
                <w:sz w:val="20"/>
                <w:szCs w:val="20"/>
                <w:color w:val="auto"/>
              </w:rPr>
            </w:pPr>
            <w:r>
              <w:rPr>
                <w:rFonts w:ascii="Times New Roman" w:cs="Times New Roman" w:eastAsia="Times New Roman" w:hAnsi="Times New Roman"/>
                <w:sz w:val="14"/>
                <w:szCs w:val="14"/>
                <w:color w:val="auto"/>
              </w:rPr>
              <w:t>public offering, net of</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520"/>
              <w:spacing w:after="0" w:line="135" w:lineRule="exact"/>
              <w:rPr>
                <w:sz w:val="20"/>
                <w:szCs w:val="20"/>
                <w:color w:val="auto"/>
              </w:rPr>
            </w:pPr>
            <w:r>
              <w:rPr>
                <w:rFonts w:ascii="Times New Roman" w:cs="Times New Roman" w:eastAsia="Times New Roman" w:hAnsi="Times New Roman"/>
                <w:sz w:val="14"/>
                <w:szCs w:val="14"/>
                <w:color w:val="auto"/>
              </w:rPr>
              <w:t>underwriting discounts</w:t>
            </w: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9,269,000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660" w:type="dxa"/>
            <w:vAlign w:val="bottom"/>
            <w:vMerge w:val="restart"/>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268,370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268,375</w:t>
            </w:r>
          </w:p>
        </w:tc>
        <w:tc>
          <w:tcPr>
            <w:tcW w:w="0" w:type="dxa"/>
            <w:vAlign w:val="bottom"/>
          </w:tcPr>
          <w:p>
            <w:pPr>
              <w:spacing w:after="0"/>
              <w:rPr>
                <w:sz w:val="1"/>
                <w:szCs w:val="1"/>
                <w:color w:val="auto"/>
              </w:rPr>
            </w:pPr>
          </w:p>
        </w:tc>
      </w:tr>
      <w:tr>
        <w:trPr>
          <w:trHeight w:val="189"/>
        </w:trPr>
        <w:tc>
          <w:tcPr>
            <w:tcW w:w="20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and commissions</w:t>
            </w: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4"/>
                <w:szCs w:val="14"/>
                <w:color w:val="auto"/>
              </w:rPr>
              <w:t>Costs in connection with</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initial public offering</w:t>
            </w: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269,729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739</w:t>
            </w:r>
          </w:p>
        </w:tc>
        <w:tc>
          <w:tcPr>
            <w:tcW w:w="0" w:type="dxa"/>
            <w:vAlign w:val="bottom"/>
          </w:tcPr>
          <w:p>
            <w:pPr>
              <w:spacing w:after="0"/>
              <w:rPr>
                <w:sz w:val="1"/>
                <w:szCs w:val="1"/>
                <w:color w:val="auto"/>
              </w:rPr>
            </w:pPr>
          </w:p>
        </w:tc>
      </w:tr>
      <w:tr>
        <w:trPr>
          <w:trHeight w:val="140"/>
        </w:trPr>
        <w:tc>
          <w:tcPr>
            <w:tcW w:w="2000" w:type="dxa"/>
            <w:vAlign w:val="bottom"/>
            <w:shd w:val="clear" w:color="auto" w:fill="CCEEFF"/>
          </w:tcPr>
          <w:p>
            <w:pPr>
              <w:ind w:left="360"/>
              <w:spacing w:after="0" w:line="140" w:lineRule="exact"/>
              <w:rPr>
                <w:sz w:val="20"/>
                <w:szCs w:val="20"/>
                <w:color w:val="auto"/>
              </w:rPr>
            </w:pPr>
            <w:r>
              <w:rPr>
                <w:rFonts w:ascii="Times New Roman" w:cs="Times New Roman" w:eastAsia="Times New Roman" w:hAnsi="Times New Roman"/>
                <w:sz w:val="14"/>
                <w:szCs w:val="14"/>
                <w:color w:val="auto"/>
              </w:rPr>
              <w:t>Reclassification of voting</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4"/>
                <w:szCs w:val="14"/>
                <w:color w:val="auto"/>
              </w:rPr>
              <w:t>and non-voting common</w:t>
            </w: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81,852,856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(75,921,537)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rPr>
              <w:t>(38)</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(5,931,319)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stock</w:t>
            </w: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13,269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13,269</w:t>
            </w:r>
          </w:p>
        </w:tc>
        <w:tc>
          <w:tcPr>
            <w:tcW w:w="0" w:type="dxa"/>
            <w:vAlign w:val="bottom"/>
          </w:tcPr>
          <w:p>
            <w:pPr>
              <w:spacing w:after="0"/>
              <w:rPr>
                <w:sz w:val="1"/>
                <w:szCs w:val="1"/>
                <w:color w:val="auto"/>
              </w:rPr>
            </w:pPr>
          </w:p>
        </w:tc>
      </w:tr>
      <w:tr>
        <w:trPr>
          <w:trHeight w:val="158"/>
        </w:trPr>
        <w:tc>
          <w:tcPr>
            <w:tcW w:w="2000" w:type="dxa"/>
            <w:vAlign w:val="bottom"/>
            <w:shd w:val="clear" w:color="auto" w:fill="CCEEFF"/>
          </w:tcPr>
          <w:p>
            <w:pPr>
              <w:ind w:left="340"/>
              <w:spacing w:after="0" w:line="158" w:lineRule="exact"/>
              <w:rPr>
                <w:sz w:val="20"/>
                <w:szCs w:val="20"/>
                <w:color w:val="auto"/>
              </w:rPr>
            </w:pPr>
            <w:r>
              <w:rPr>
                <w:rFonts w:ascii="Times New Roman" w:cs="Times New Roman" w:eastAsia="Times New Roman" w:hAnsi="Times New Roman"/>
                <w:sz w:val="14"/>
                <w:szCs w:val="14"/>
                <w:color w:val="auto"/>
              </w:rPr>
              <w:t>Other comprehensive</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w:t>
            </w: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Net loss attributable to</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520"/>
              <w:spacing w:after="0" w:line="135" w:lineRule="exact"/>
              <w:rPr>
                <w:sz w:val="20"/>
                <w:szCs w:val="20"/>
                <w:color w:val="auto"/>
              </w:rPr>
            </w:pPr>
            <w:r>
              <w:rPr>
                <w:rFonts w:ascii="Times New Roman" w:cs="Times New Roman" w:eastAsia="Times New Roman" w:hAnsi="Times New Roman"/>
                <w:sz w:val="14"/>
                <w:szCs w:val="14"/>
                <w:color w:val="auto"/>
              </w:rPr>
              <w:t>nCino, Inc., including</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520"/>
              <w:spacing w:after="0" w:line="135" w:lineRule="exact"/>
              <w:rPr>
                <w:sz w:val="20"/>
                <w:szCs w:val="20"/>
                <w:color w:val="auto"/>
              </w:rPr>
            </w:pPr>
            <w:r>
              <w:rPr>
                <w:rFonts w:ascii="Times New Roman" w:cs="Times New Roman" w:eastAsia="Times New Roman" w:hAnsi="Times New Roman"/>
                <w:sz w:val="14"/>
                <w:szCs w:val="14"/>
                <w:color w:val="auto"/>
              </w:rPr>
              <w:t>adjustment to</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520"/>
              <w:spacing w:after="0" w:line="135" w:lineRule="exact"/>
              <w:rPr>
                <w:sz w:val="20"/>
                <w:szCs w:val="20"/>
                <w:color w:val="auto"/>
              </w:rPr>
            </w:pPr>
            <w:r>
              <w:rPr>
                <w:rFonts w:ascii="Times New Roman" w:cs="Times New Roman" w:eastAsia="Times New Roman" w:hAnsi="Times New Roman"/>
                <w:sz w:val="14"/>
                <w:szCs w:val="14"/>
                <w:color w:val="auto"/>
              </w:rPr>
              <w:t>redeemable non-</w:t>
            </w: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(14,492)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(14,646)</w:t>
            </w:r>
          </w:p>
        </w:tc>
        <w:tc>
          <w:tcPr>
            <w:tcW w:w="0" w:type="dxa"/>
            <w:vAlign w:val="bottom"/>
          </w:tcPr>
          <w:p>
            <w:pPr>
              <w:spacing w:after="0"/>
              <w:rPr>
                <w:sz w:val="1"/>
                <w:szCs w:val="1"/>
                <w:color w:val="auto"/>
              </w:rPr>
            </w:pPr>
          </w:p>
        </w:tc>
      </w:tr>
      <w:tr>
        <w:trPr>
          <w:trHeight w:val="189"/>
        </w:trPr>
        <w:tc>
          <w:tcPr>
            <w:tcW w:w="2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controlling interest</w:t>
            </w: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July 31, 2020</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91,122,356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567,314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427,490</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July 31, 2019</w:t>
            </w: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gridSpan w:val="3"/>
          </w:tcPr>
          <w:p>
            <w:pPr>
              <w:jc w:val="right"/>
              <w:ind w:right="288"/>
              <w:spacing w:after="0" w:line="151" w:lineRule="exact"/>
              <w:rPr>
                <w:sz w:val="20"/>
                <w:szCs w:val="20"/>
                <w:color w:val="auto"/>
              </w:rPr>
            </w:pPr>
            <w:r>
              <w:rPr>
                <w:rFonts w:ascii="Times New Roman" w:cs="Times New Roman" w:eastAsia="Times New Roman" w:hAnsi="Times New Roman"/>
                <w:sz w:val="14"/>
                <w:szCs w:val="14"/>
                <w:color w:val="auto"/>
                <w:w w:val="92"/>
              </w:rPr>
              <w:t>Voting</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5"/>
          </w:tcPr>
          <w:p>
            <w:pPr>
              <w:ind w:left="540"/>
              <w:spacing w:after="0" w:line="151" w:lineRule="exact"/>
              <w:rPr>
                <w:sz w:val="20"/>
                <w:szCs w:val="20"/>
                <w:color w:val="auto"/>
              </w:rPr>
            </w:pPr>
            <w:r>
              <w:rPr>
                <w:rFonts w:ascii="Times New Roman" w:cs="Times New Roman" w:eastAsia="Times New Roman" w:hAnsi="Times New Roman"/>
                <w:sz w:val="14"/>
                <w:szCs w:val="14"/>
                <w:color w:val="auto"/>
              </w:rPr>
              <w:t>Non-voting</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Additional</w:t>
            </w:r>
          </w:p>
        </w:tc>
        <w:tc>
          <w:tcPr>
            <w:tcW w:w="240" w:type="dxa"/>
            <w:vAlign w:val="bottom"/>
          </w:tcPr>
          <w:p>
            <w:pPr>
              <w:spacing w:after="0"/>
              <w:rPr>
                <w:sz w:val="13"/>
                <w:szCs w:val="13"/>
                <w:color w:val="auto"/>
              </w:rPr>
            </w:pPr>
          </w:p>
        </w:tc>
        <w:tc>
          <w:tcPr>
            <w:tcW w:w="8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640" w:type="dxa"/>
            <w:vAlign w:val="bottom"/>
          </w:tcPr>
          <w:p>
            <w:pPr>
              <w:spacing w:after="0"/>
              <w:rPr>
                <w:sz w:val="5"/>
                <w:szCs w:val="5"/>
                <w:color w:val="auto"/>
              </w:rPr>
            </w:pPr>
          </w:p>
        </w:tc>
        <w:tc>
          <w:tcPr>
            <w:tcW w:w="1420" w:type="dxa"/>
            <w:vAlign w:val="bottom"/>
            <w:gridSpan w:val="4"/>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640" w:type="dxa"/>
            <w:vAlign w:val="bottom"/>
          </w:tcPr>
          <w:p>
            <w:pPr>
              <w:spacing w:after="0"/>
              <w:rPr>
                <w:sz w:val="10"/>
                <w:szCs w:val="10"/>
                <w:color w:val="auto"/>
              </w:rPr>
            </w:pPr>
          </w:p>
        </w:tc>
        <w:tc>
          <w:tcPr>
            <w:tcW w:w="1420" w:type="dxa"/>
            <w:vAlign w:val="bottom"/>
            <w:tcBorders>
              <w:bottom w:val="single" w:sz="8" w:color="auto"/>
            </w:tcBorders>
            <w:gridSpan w:val="4"/>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color w:val="auto"/>
              </w:rPr>
              <w:t>Paid-in</w:t>
            </w:r>
          </w:p>
        </w:tc>
        <w:tc>
          <w:tcPr>
            <w:tcW w:w="104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4"/>
                <w:szCs w:val="14"/>
                <w:color w:val="auto"/>
              </w:rPr>
              <w:t>Comprehensive</w:t>
            </w:r>
          </w:p>
        </w:tc>
        <w:tc>
          <w:tcPr>
            <w:tcW w:w="1020" w:type="dxa"/>
            <w:vAlign w:val="bottom"/>
            <w:gridSpan w:val="3"/>
          </w:tcPr>
          <w:p>
            <w:pPr>
              <w:ind w:left="80"/>
              <w:spacing w:after="0" w:line="125" w:lineRule="exact"/>
              <w:rPr>
                <w:sz w:val="20"/>
                <w:szCs w:val="20"/>
                <w:color w:val="auto"/>
              </w:rPr>
            </w:pPr>
            <w:r>
              <w:rPr>
                <w:rFonts w:ascii="Times New Roman" w:cs="Times New Roman" w:eastAsia="Times New Roman" w:hAnsi="Times New Roman"/>
                <w:sz w:val="14"/>
                <w:szCs w:val="14"/>
                <w:color w:val="auto"/>
              </w:rPr>
              <w:t>Accumulated</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36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Capital</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Income (Loss)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Deficit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1"/>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January 31, 2019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70,186,189</w:t>
            </w:r>
          </w:p>
        </w:tc>
        <w:tc>
          <w:tcPr>
            <w:tcW w:w="740" w:type="dxa"/>
            <w:vAlign w:val="bottom"/>
            <w:gridSpan w:val="3"/>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5,701,435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170,771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(104,752)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66,036</w:t>
            </w:r>
          </w:p>
        </w:tc>
        <w:tc>
          <w:tcPr>
            <w:tcW w:w="0" w:type="dxa"/>
            <w:vAlign w:val="bottom"/>
          </w:tcPr>
          <w:p>
            <w:pPr>
              <w:spacing w:after="0"/>
              <w:rPr>
                <w:sz w:val="1"/>
                <w:szCs w:val="1"/>
                <w:color w:val="auto"/>
              </w:rPr>
            </w:pPr>
          </w:p>
        </w:tc>
      </w:tr>
      <w:tr>
        <w:trPr>
          <w:trHeight w:val="135"/>
        </w:trPr>
        <w:tc>
          <w:tcPr>
            <w:tcW w:w="364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Cumulative-effect adjustment from adoption of</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11,422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11,422</w:t>
            </w:r>
          </w:p>
        </w:tc>
        <w:tc>
          <w:tcPr>
            <w:tcW w:w="0" w:type="dxa"/>
            <w:vAlign w:val="bottom"/>
          </w:tcPr>
          <w:p>
            <w:pPr>
              <w:spacing w:after="0"/>
              <w:rPr>
                <w:sz w:val="1"/>
                <w:szCs w:val="1"/>
                <w:color w:val="auto"/>
              </w:rPr>
            </w:pPr>
          </w:p>
        </w:tc>
      </w:tr>
      <w:tr>
        <w:trPr>
          <w:trHeight w:val="189"/>
        </w:trPr>
        <w:tc>
          <w:tcPr>
            <w:tcW w:w="3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accounting standard</w:t>
            </w: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 issuance related to business combinations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1,438,805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23,811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23,812</w:t>
            </w:r>
          </w:p>
        </w:tc>
        <w:tc>
          <w:tcPr>
            <w:tcW w:w="0" w:type="dxa"/>
            <w:vAlign w:val="bottom"/>
          </w:tcPr>
          <w:p>
            <w:pPr>
              <w:spacing w:after="0"/>
              <w:rPr>
                <w:sz w:val="1"/>
                <w:szCs w:val="1"/>
                <w:color w:val="auto"/>
              </w:rPr>
            </w:pPr>
          </w:p>
        </w:tc>
      </w:tr>
      <w:tr>
        <w:trPr>
          <w:trHeight w:val="198"/>
        </w:trPr>
        <w:tc>
          <w:tcPr>
            <w:tcW w:w="3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188,101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208"/>
        </w:trPr>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3,601</w:t>
            </w:r>
          </w:p>
        </w:tc>
        <w:tc>
          <w:tcPr>
            <w:tcW w:w="0" w:type="dxa"/>
            <w:vAlign w:val="bottom"/>
          </w:tcPr>
          <w:p>
            <w:pPr>
              <w:spacing w:after="0"/>
              <w:rPr>
                <w:sz w:val="1"/>
                <w:szCs w:val="1"/>
                <w:color w:val="auto"/>
              </w:rPr>
            </w:pPr>
          </w:p>
        </w:tc>
      </w:tr>
      <w:tr>
        <w:trPr>
          <w:trHeight w:val="198"/>
        </w:trPr>
        <w:tc>
          <w:tcPr>
            <w:tcW w:w="3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 attributable to nCino, Inc.</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(11,921)</w:t>
            </w:r>
          </w:p>
        </w:tc>
        <w:tc>
          <w:tcPr>
            <w:tcW w:w="0" w:type="dxa"/>
            <w:vAlign w:val="bottom"/>
          </w:tcPr>
          <w:p>
            <w:pPr>
              <w:spacing w:after="0"/>
              <w:rPr>
                <w:sz w:val="1"/>
                <w:szCs w:val="1"/>
                <w:color w:val="auto"/>
              </w:rPr>
            </w:pPr>
          </w:p>
        </w:tc>
      </w:tr>
      <w:tr>
        <w:trPr>
          <w:trHeight w:val="20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July 31, 2019</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71,813,095</w:t>
            </w:r>
          </w:p>
        </w:tc>
        <w:tc>
          <w:tcPr>
            <w:tcW w:w="74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5,701,435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198,720</w:t>
            </w:r>
          </w:p>
        </w:tc>
        <w:tc>
          <w:tcPr>
            <w:tcW w:w="8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428</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(105,251)</w:t>
            </w:r>
          </w:p>
        </w:tc>
        <w:tc>
          <w:tcPr>
            <w:tcW w:w="8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93,936</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31, 2020</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ind w:left="568"/>
              <w:spacing w:after="0" w:line="151" w:lineRule="exact"/>
              <w:rPr>
                <w:sz w:val="20"/>
                <w:szCs w:val="20"/>
                <w:color w:val="auto"/>
              </w:rPr>
            </w:pPr>
            <w:r>
              <w:rPr>
                <w:rFonts w:ascii="Times New Roman" w:cs="Times New Roman" w:eastAsia="Times New Roman" w:hAnsi="Times New Roman"/>
                <w:sz w:val="14"/>
                <w:szCs w:val="14"/>
                <w:color w:val="auto"/>
                <w:w w:val="97"/>
              </w:rPr>
              <w:t>Voting</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5"/>
          </w:tcPr>
          <w:p>
            <w:pPr>
              <w:ind w:left="500"/>
              <w:spacing w:after="0" w:line="151" w:lineRule="exact"/>
              <w:rPr>
                <w:sz w:val="20"/>
                <w:szCs w:val="20"/>
                <w:color w:val="auto"/>
              </w:rPr>
            </w:pPr>
            <w:r>
              <w:rPr>
                <w:rFonts w:ascii="Times New Roman" w:cs="Times New Roman" w:eastAsia="Times New Roman" w:hAnsi="Times New Roman"/>
                <w:sz w:val="14"/>
                <w:szCs w:val="14"/>
                <w:color w:val="auto"/>
              </w:rPr>
              <w:t>Non-voting</w:t>
            </w:r>
          </w:p>
        </w:tc>
        <w:tc>
          <w:tcPr>
            <w:tcW w:w="120" w:type="dxa"/>
            <w:vAlign w:val="bottom"/>
          </w:tcPr>
          <w:p>
            <w:pPr>
              <w:spacing w:after="0"/>
              <w:rPr>
                <w:sz w:val="13"/>
                <w:szCs w:val="1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13"/>
                <w:szCs w:val="13"/>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1700" w:type="dxa"/>
            <w:vAlign w:val="bottom"/>
            <w:gridSpan w:val="4"/>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vMerge w:val="restart"/>
          </w:tcPr>
          <w:p>
            <w:pPr>
              <w:spacing w:after="0"/>
              <w:rPr>
                <w:sz w:val="5"/>
                <w:szCs w:val="5"/>
                <w:color w:val="auto"/>
              </w:rPr>
            </w:pPr>
          </w:p>
        </w:tc>
        <w:tc>
          <w:tcPr>
            <w:tcW w:w="17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vMerge w:val="restart"/>
          </w:tcPr>
          <w:p>
            <w:pPr>
              <w:spacing w:after="0"/>
              <w:rPr>
                <w:sz w:val="5"/>
                <w:szCs w:val="5"/>
                <w:color w:val="auto"/>
              </w:rPr>
            </w:pPr>
          </w:p>
        </w:tc>
        <w:tc>
          <w:tcPr>
            <w:tcW w:w="1700" w:type="dxa"/>
            <w:vAlign w:val="bottom"/>
            <w:gridSpan w:val="4"/>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00" w:type="dxa"/>
            <w:vAlign w:val="bottom"/>
          </w:tcPr>
          <w:p>
            <w:pPr>
              <w:spacing w:after="0"/>
              <w:rPr>
                <w:sz w:val="10"/>
                <w:szCs w:val="10"/>
                <w:color w:val="auto"/>
              </w:rPr>
            </w:pPr>
          </w:p>
        </w:tc>
        <w:tc>
          <w:tcPr>
            <w:tcW w:w="170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72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70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color w:val="auto"/>
              </w:rPr>
              <w:t>Paid-in</w:t>
            </w:r>
          </w:p>
        </w:tc>
        <w:tc>
          <w:tcPr>
            <w:tcW w:w="104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4"/>
                <w:szCs w:val="14"/>
                <w:color w:val="auto"/>
              </w:rPr>
              <w:t>Comprehensive</w:t>
            </w:r>
          </w:p>
        </w:tc>
        <w:tc>
          <w:tcPr>
            <w:tcW w:w="1000" w:type="dxa"/>
            <w:vAlign w:val="bottom"/>
            <w:gridSpan w:val="3"/>
          </w:tcPr>
          <w:p>
            <w:pPr>
              <w:jc w:val="right"/>
              <w:ind w:right="160"/>
              <w:spacing w:after="0" w:line="125" w:lineRule="exact"/>
              <w:rPr>
                <w:sz w:val="20"/>
                <w:szCs w:val="20"/>
                <w:color w:val="auto"/>
              </w:rPr>
            </w:pPr>
            <w:r>
              <w:rPr>
                <w:rFonts w:ascii="Times New Roman" w:cs="Times New Roman" w:eastAsia="Times New Roman" w:hAnsi="Times New Roman"/>
                <w:sz w:val="14"/>
                <w:szCs w:val="14"/>
                <w:color w:val="auto"/>
              </w:rPr>
              <w:t>Accumulated</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Capital</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Income (Loss)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Deficit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January 31, 2020</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75,596,007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w w:val="99"/>
              </w:rPr>
              <w:t>38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5,931,319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288,564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167,273</w:t>
            </w:r>
          </w:p>
        </w:tc>
        <w:tc>
          <w:tcPr>
            <w:tcW w:w="0" w:type="dxa"/>
            <w:vAlign w:val="bottom"/>
          </w:tcPr>
          <w:p>
            <w:pPr>
              <w:spacing w:after="0"/>
              <w:rPr>
                <w:sz w:val="1"/>
                <w:szCs w:val="1"/>
                <w:color w:val="auto"/>
              </w:rPr>
            </w:pPr>
          </w:p>
        </w:tc>
      </w:tr>
      <w:tr>
        <w:trPr>
          <w:trHeight w:val="135"/>
        </w:trPr>
        <w:tc>
          <w:tcPr>
            <w:tcW w:w="200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Issuance of common stock</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520"/>
              <w:spacing w:after="0" w:line="135" w:lineRule="exact"/>
              <w:rPr>
                <w:sz w:val="20"/>
                <w:szCs w:val="20"/>
                <w:color w:val="auto"/>
              </w:rPr>
            </w:pPr>
            <w:r>
              <w:rPr>
                <w:rFonts w:ascii="Times New Roman" w:cs="Times New Roman" w:eastAsia="Times New Roman" w:hAnsi="Times New Roman"/>
                <w:sz w:val="14"/>
                <w:szCs w:val="14"/>
                <w:color w:val="auto"/>
              </w:rPr>
              <w:t>in connection with initial</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520"/>
              <w:spacing w:after="0" w:line="135" w:lineRule="exact"/>
              <w:rPr>
                <w:sz w:val="20"/>
                <w:szCs w:val="20"/>
                <w:color w:val="auto"/>
              </w:rPr>
            </w:pPr>
            <w:r>
              <w:rPr>
                <w:rFonts w:ascii="Times New Roman" w:cs="Times New Roman" w:eastAsia="Times New Roman" w:hAnsi="Times New Roman"/>
                <w:sz w:val="14"/>
                <w:szCs w:val="14"/>
                <w:color w:val="auto"/>
              </w:rPr>
              <w:t>public offering, net of</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520"/>
              <w:spacing w:after="0" w:line="135" w:lineRule="exact"/>
              <w:rPr>
                <w:sz w:val="20"/>
                <w:szCs w:val="20"/>
                <w:color w:val="auto"/>
              </w:rPr>
            </w:pPr>
            <w:r>
              <w:rPr>
                <w:rFonts w:ascii="Times New Roman" w:cs="Times New Roman" w:eastAsia="Times New Roman" w:hAnsi="Times New Roman"/>
                <w:sz w:val="14"/>
                <w:szCs w:val="14"/>
                <w:color w:val="auto"/>
              </w:rPr>
              <w:t>underwriting discounts</w:t>
            </w: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9,269,000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40" w:type="dxa"/>
            <w:vAlign w:val="bottom"/>
            <w:gridSpan w:val="2"/>
            <w:vMerge w:val="restart"/>
          </w:tcPr>
          <w:p>
            <w:pPr>
              <w:jc w:val="center"/>
              <w:ind w:left="20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268,370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268,375</w:t>
            </w:r>
          </w:p>
        </w:tc>
        <w:tc>
          <w:tcPr>
            <w:tcW w:w="0" w:type="dxa"/>
            <w:vAlign w:val="bottom"/>
          </w:tcPr>
          <w:p>
            <w:pPr>
              <w:spacing w:after="0"/>
              <w:rPr>
                <w:sz w:val="1"/>
                <w:szCs w:val="1"/>
                <w:color w:val="auto"/>
              </w:rPr>
            </w:pPr>
          </w:p>
        </w:tc>
      </w:tr>
      <w:tr>
        <w:trPr>
          <w:trHeight w:val="189"/>
        </w:trPr>
        <w:tc>
          <w:tcPr>
            <w:tcW w:w="20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and commissions</w:t>
            </w: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4"/>
                <w:szCs w:val="14"/>
                <w:color w:val="auto"/>
              </w:rPr>
              <w:t>Costs in connection with</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initial public offering</w:t>
            </w: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325,530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140"/>
        </w:trPr>
        <w:tc>
          <w:tcPr>
            <w:tcW w:w="2000" w:type="dxa"/>
            <w:vAlign w:val="bottom"/>
            <w:shd w:val="clear" w:color="auto" w:fill="CCEEFF"/>
          </w:tcPr>
          <w:p>
            <w:pPr>
              <w:ind w:left="360"/>
              <w:spacing w:after="0" w:line="140" w:lineRule="exact"/>
              <w:rPr>
                <w:sz w:val="20"/>
                <w:szCs w:val="20"/>
                <w:color w:val="auto"/>
              </w:rPr>
            </w:pPr>
            <w:r>
              <w:rPr>
                <w:rFonts w:ascii="Times New Roman" w:cs="Times New Roman" w:eastAsia="Times New Roman" w:hAnsi="Times New Roman"/>
                <w:sz w:val="14"/>
                <w:szCs w:val="14"/>
                <w:color w:val="auto"/>
              </w:rPr>
              <w:t>Reclassification of voting</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4"/>
                <w:szCs w:val="14"/>
                <w:color w:val="auto"/>
              </w:rPr>
              <w:t>and non-voting common</w:t>
            </w: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81,852,856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(75,921,537)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(5,931,319)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stock</w:t>
            </w: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14,320</w:t>
            </w:r>
          </w:p>
        </w:tc>
        <w:tc>
          <w:tcPr>
            <w:tcW w:w="0" w:type="dxa"/>
            <w:vAlign w:val="bottom"/>
          </w:tcPr>
          <w:p>
            <w:pPr>
              <w:spacing w:after="0"/>
              <w:rPr>
                <w:sz w:val="1"/>
                <w:szCs w:val="1"/>
                <w:color w:val="auto"/>
              </w:rPr>
            </w:pPr>
          </w:p>
        </w:tc>
      </w:tr>
      <w:tr>
        <w:trPr>
          <w:trHeight w:val="158"/>
        </w:trPr>
        <w:tc>
          <w:tcPr>
            <w:tcW w:w="2000" w:type="dxa"/>
            <w:vAlign w:val="bottom"/>
            <w:shd w:val="clear" w:color="auto" w:fill="CCEEFF"/>
          </w:tcPr>
          <w:p>
            <w:pPr>
              <w:ind w:left="340"/>
              <w:spacing w:after="0" w:line="158" w:lineRule="exact"/>
              <w:rPr>
                <w:sz w:val="20"/>
                <w:szCs w:val="20"/>
                <w:color w:val="auto"/>
              </w:rPr>
            </w:pPr>
            <w:r>
              <w:rPr>
                <w:rFonts w:ascii="Times New Roman" w:cs="Times New Roman" w:eastAsia="Times New Roman" w:hAnsi="Times New Roman"/>
                <w:sz w:val="14"/>
                <w:szCs w:val="14"/>
                <w:color w:val="auto"/>
              </w:rPr>
              <w:t>Other comprehensive</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w:t>
            </w: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Net loss attributable to</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520"/>
              <w:spacing w:after="0" w:line="135" w:lineRule="exact"/>
              <w:rPr>
                <w:sz w:val="20"/>
                <w:szCs w:val="20"/>
                <w:color w:val="auto"/>
              </w:rPr>
            </w:pPr>
            <w:r>
              <w:rPr>
                <w:rFonts w:ascii="Times New Roman" w:cs="Times New Roman" w:eastAsia="Times New Roman" w:hAnsi="Times New Roman"/>
                <w:sz w:val="14"/>
                <w:szCs w:val="14"/>
                <w:color w:val="auto"/>
              </w:rPr>
              <w:t>nCino, Inc., including</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520"/>
              <w:spacing w:after="0" w:line="135" w:lineRule="exact"/>
              <w:rPr>
                <w:sz w:val="20"/>
                <w:szCs w:val="20"/>
                <w:color w:val="auto"/>
              </w:rPr>
            </w:pPr>
            <w:r>
              <w:rPr>
                <w:rFonts w:ascii="Times New Roman" w:cs="Times New Roman" w:eastAsia="Times New Roman" w:hAnsi="Times New Roman"/>
                <w:sz w:val="14"/>
                <w:szCs w:val="14"/>
                <w:color w:val="auto"/>
              </w:rPr>
              <w:t>adjustment to</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520"/>
              <w:spacing w:after="0" w:line="135" w:lineRule="exact"/>
              <w:rPr>
                <w:sz w:val="20"/>
                <w:szCs w:val="20"/>
                <w:color w:val="auto"/>
              </w:rPr>
            </w:pPr>
            <w:r>
              <w:rPr>
                <w:rFonts w:ascii="Times New Roman" w:cs="Times New Roman" w:eastAsia="Times New Roman" w:hAnsi="Times New Roman"/>
                <w:sz w:val="14"/>
                <w:szCs w:val="14"/>
                <w:color w:val="auto"/>
              </w:rPr>
              <w:t>redeemable non-</w:t>
            </w: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vMerge w:val="restart"/>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(19,148)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(19,415)</w:t>
            </w:r>
          </w:p>
        </w:tc>
        <w:tc>
          <w:tcPr>
            <w:tcW w:w="0" w:type="dxa"/>
            <w:vAlign w:val="bottom"/>
          </w:tcPr>
          <w:p>
            <w:pPr>
              <w:spacing w:after="0"/>
              <w:rPr>
                <w:sz w:val="1"/>
                <w:szCs w:val="1"/>
                <w:color w:val="auto"/>
              </w:rPr>
            </w:pPr>
          </w:p>
        </w:tc>
      </w:tr>
      <w:tr>
        <w:trPr>
          <w:trHeight w:val="189"/>
        </w:trPr>
        <w:tc>
          <w:tcPr>
            <w:tcW w:w="2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controlling interest</w:t>
            </w: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July 31, 2020</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91,122,356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567,314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427,490</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13335</wp:posOffset>
            </wp:positionV>
            <wp:extent cx="16198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5"/>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(19,415)</w:t>
            </w: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and adjustment attributable to redeemable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(19,556)</w:t>
            </w: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costs capitalized to obtain revenue contracts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243"/>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14,320</w:t>
            </w: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Provision for (recovery of) bad debt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6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Accounts receivable, related parties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w:t>
            </w:r>
          </w:p>
        </w:tc>
      </w:tr>
      <w:tr>
        <w:trPr>
          <w:trHeight w:val="243"/>
        </w:trPr>
        <w:tc>
          <w:tcPr>
            <w:tcW w:w="86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Costs capitalized to obtain revenue contracts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86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expenses and other liabilities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Accounts payable, related parties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43"/>
        </w:trPr>
        <w:tc>
          <w:tcPr>
            <w:tcW w:w="86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Deferred rent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revenues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33,188</w:t>
            </w:r>
          </w:p>
        </w:tc>
      </w:tr>
      <w:tr>
        <w:trPr>
          <w:trHeight w:val="243"/>
        </w:trPr>
        <w:tc>
          <w:tcPr>
            <w:tcW w:w="86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Deferred revenues, related parties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w:t>
            </w:r>
          </w:p>
        </w:tc>
      </w:tr>
      <w:tr>
        <w:trPr>
          <w:trHeight w:val="27"/>
        </w:trPr>
        <w:tc>
          <w:tcPr>
            <w:tcW w:w="8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68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31,906</w:t>
            </w: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r>
      <w:tr>
        <w:trPr>
          <w:trHeight w:val="27"/>
        </w:trPr>
        <w:tc>
          <w:tcPr>
            <w:tcW w:w="8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68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Proceeds from initial public offering, net of underwriting discounts and commissions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268,375</w:t>
            </w:r>
          </w:p>
        </w:tc>
      </w:tr>
      <w:tr>
        <w:trPr>
          <w:trHeight w:val="243"/>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Payments of costs related to initial public offering</w:t>
            </w:r>
          </w:p>
        </w:tc>
        <w:tc>
          <w:tcPr>
            <w:tcW w:w="3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37"/>
        </w:trPr>
        <w:tc>
          <w:tcPr>
            <w:tcW w:w="868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267,891</w:t>
            </w:r>
          </w:p>
        </w:tc>
      </w:tr>
      <w:tr>
        <w:trPr>
          <w:trHeight w:val="27"/>
        </w:trPr>
        <w:tc>
          <w:tcPr>
            <w:tcW w:w="8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7"/>
        </w:trPr>
        <w:tc>
          <w:tcPr>
            <w:tcW w:w="868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297,007</w:t>
            </w: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91,184</w:t>
            </w:r>
          </w:p>
        </w:tc>
      </w:tr>
      <w:tr>
        <w:trPr>
          <w:trHeight w:val="26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388,191</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70"/>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Cash paid during the year for taxes, net of refunds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70"/>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Purchase of property and equipment, accrued but not paid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9"/>
        </w:trPr>
        <w:tc>
          <w:tcPr>
            <w:tcW w:w="86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Fair value of common stock issued as consideration for business acquisition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Costs related to initial public offering, accrued but not paid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Costs related to initial public offering, reclassified from other long term assets to equity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1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132"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5" w:lineRule="exact"/>
        <w:rPr>
          <w:sz w:val="20"/>
          <w:szCs w:val="20"/>
          <w:color w:val="auto"/>
        </w:rPr>
      </w:pPr>
    </w:p>
    <w:p>
      <w:pPr>
        <w:ind w:right="10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color w:val="auto"/>
        </w:rPr>
        <w:t>nCino, Inc. is a software-as-a-service (SaaS) company that provides software applications to financial institutions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streamline employee and client interactions. The Company is headquartered in Wilmington, North Carolina and has offices in Salt Lake City, Utah; London, United Kingdom; Sydney, Australia; Melbourne, Australia; Toronto, Canada; and Tokyo, Japan.</w:t>
      </w:r>
    </w:p>
    <w:p>
      <w:pPr>
        <w:spacing w:after="0" w:line="171"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Initial Public Offering: </w:t>
      </w:r>
      <w:r>
        <w:rPr>
          <w:rFonts w:ascii="Times New Roman" w:cs="Times New Roman" w:eastAsia="Times New Roman" w:hAnsi="Times New Roman"/>
          <w:sz w:val="18"/>
          <w:szCs w:val="18"/>
          <w:color w:val="auto"/>
        </w:rPr>
        <w:t>On July 13, 2020, the Company's Registration Statement on Form S-1 relating to the initial public offering ("IPO")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common stock was declared effective by the Securities and Exchange Commission ("SEC"). Prior to the closing of the IPO, the Company's certificate of incorporation was amended such that all outstanding shares of voting common stock and non-voting common stock were reclassified into a single class of stock designated as common stock which has one vote per share. In addition, effective upon the closing of the IPO, the Company's certificate of incorporation was amended and restated such that the total number of shares of common stock authorized to issue, par value $0.0005, was increased to 500,000,000 shares and the total number of shares of preferred stock, par value $0.001, was increased to 10,000,000 shares. In connection with the IPO, the Company issued and sold 9,269,000 shares of common stock (including shares issued pursuant to the exercise in full of the underwriters' option to purchase additional shares) at a public offering price of $31.00 per share for net proceeds of $268.4 million, after deducting underwriters' discounts and commissions (excluding other IPO costs as of July 31, 2020).</w:t>
      </w:r>
    </w:p>
    <w:p>
      <w:pPr>
        <w:spacing w:after="0" w:line="192" w:lineRule="exact"/>
        <w:rPr>
          <w:sz w:val="20"/>
          <w:szCs w:val="20"/>
          <w:color w:val="auto"/>
        </w:rPr>
      </w:pPr>
    </w:p>
    <w:p>
      <w:pPr>
        <w:jc w:val="both"/>
        <w:ind w:right="60" w:firstLine="891"/>
        <w:spacing w:after="0" w:line="266" w:lineRule="auto"/>
        <w:rPr>
          <w:sz w:val="20"/>
          <w:szCs w:val="20"/>
          <w:color w:val="auto"/>
        </w:rPr>
      </w:pPr>
      <w:r>
        <w:rPr>
          <w:rFonts w:ascii="Times New Roman" w:cs="Times New Roman" w:eastAsia="Times New Roman" w:hAnsi="Times New Roman"/>
          <w:sz w:val="18"/>
          <w:szCs w:val="18"/>
          <w:color w:val="auto"/>
        </w:rPr>
        <w:t>Prior to the IPO, deferred offering costs, which consist of legal, accounting, consulting and other direct fees and costs relating to the IPO, were capitalized in other long-term assets. Upon consummation of the IPO, these costs were offset against the proceeds from the IPO and recorded in additional paid-in capital.</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Fiscal Year End: </w:t>
      </w:r>
      <w:r>
        <w:rPr>
          <w:rFonts w:ascii="Times New Roman" w:cs="Times New Roman" w:eastAsia="Times New Roman" w:hAnsi="Times New Roman"/>
          <w:sz w:val="18"/>
          <w:szCs w:val="18"/>
          <w:color w:val="auto"/>
        </w:rPr>
        <w:t>The Company’s fiscal year ends on January 31.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and Basis of Presentation: </w:t>
      </w:r>
      <w:r>
        <w:rPr>
          <w:rFonts w:ascii="Times New Roman" w:cs="Times New Roman" w:eastAsia="Times New Roman" w:hAnsi="Times New Roman"/>
          <w:sz w:val="18"/>
          <w:szCs w:val="18"/>
          <w:color w:val="auto"/>
        </w:rPr>
        <w:t>The accompanying unaudited condensed consolidated financial statements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prepared in accordance with generally accepted accounting principles in the United States of America (“GAAP”) as set forth in the Financial Accounting Standards Board (“FASB”) Accounting Standards Codification (“ASC”) and applicable rules and regulations of the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for the Company’s audited January 31, 2020 consolidated financial statements contained in the Company's final prospectus for its IPO dated as of July 13, 2020 and filed with the SEC pursuant to Rule 424(b)(4) on July 14, 2020. The unaudited condensed consolidated financial statements include accounts of the Company’s wholly-owned subsidiaries, as well as a variable interest entity in which the Company is the primary beneficiary. All intercompany accounts and transactions are eliminated. Refer to the variable interest entity section below and Note 3 for additional information regarding the Company’s variable interest entity.</w:t>
      </w:r>
    </w:p>
    <w:p>
      <w:pPr>
        <w:spacing w:after="0" w:line="189"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76" w:lineRule="exact"/>
        <w:rPr>
          <w:sz w:val="20"/>
          <w:szCs w:val="20"/>
          <w:color w:val="auto"/>
        </w:rPr>
      </w:pPr>
    </w:p>
    <w:p>
      <w:pPr>
        <w:ind w:right="200" w:firstLine="891"/>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year 2021 or any future period.</w:t>
      </w:r>
    </w:p>
    <w:p>
      <w:pPr>
        <w:spacing w:after="0" w:line="172" w:lineRule="exact"/>
        <w:rPr>
          <w:sz w:val="20"/>
          <w:szCs w:val="20"/>
          <w:color w:val="auto"/>
        </w:rPr>
      </w:pPr>
    </w:p>
    <w:p>
      <w:pPr>
        <w:ind w:right="40"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Variable Interest Entity: </w:t>
      </w:r>
      <w:r>
        <w:rPr>
          <w:rFonts w:ascii="Times New Roman" w:cs="Times New Roman" w:eastAsia="Times New Roman" w:hAnsi="Times New Roman"/>
          <w:sz w:val="18"/>
          <w:szCs w:val="18"/>
          <w:color w:val="auto"/>
        </w:rPr>
        <w:t>The Company holds an interest in a Japanese company (“nCino K.K.”) that is considered a variable interest entity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VIE. nCino K.K. is considered a VIE as it has insufficient equity capital to finance its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200" w:lineRule="exact"/>
        <w:rPr>
          <w:sz w:val="20"/>
          <w:szCs w:val="20"/>
          <w:color w:val="auto"/>
        </w:rPr>
      </w:pPr>
    </w:p>
    <w:p>
      <w:pPr>
        <w:spacing w:after="0" w:line="3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unaudited condensed consolidated balance sheets. Refer to Note 3 for additional information regarding the Company’s variable interest.</w:t>
      </w:r>
    </w:p>
    <w:p>
      <w:pPr>
        <w:spacing w:after="0" w:line="184"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Redeemable Non-Controlling Interest: </w:t>
      </w:r>
      <w:r>
        <w:rPr>
          <w:rFonts w:ascii="Times New Roman" w:cs="Times New Roman" w:eastAsia="Times New Roman" w:hAnsi="Times New Roman"/>
          <w:sz w:val="18"/>
          <w:szCs w:val="18"/>
          <w:color w:val="auto"/>
        </w:rPr>
        <w:t>Redeemable non-controlling interest relates to minority investors of nCino K.K. An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minority investors of nCino K.K. contains redemption features whereby the interest held by the minority investors are redeemable either (i) at the option of the minority investors or (ii) at the option of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unaudited condensed consolidated balance sheets outside of equity under the caption “Redeemable non-controlling interest.”</w:t>
      </w:r>
    </w:p>
    <w:p>
      <w:pPr>
        <w:spacing w:after="0" w:line="188"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unaudited condensed consolidated financial statements in conformity with GAAP requires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fair value of contingent consideration; the useful lives of intangible assets; the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88" w:lineRule="exact"/>
        <w:rPr>
          <w:sz w:val="20"/>
          <w:szCs w:val="20"/>
          <w:color w:val="auto"/>
        </w:rPr>
      </w:pPr>
    </w:p>
    <w:p>
      <w:pPr>
        <w:jc w:val="both"/>
        <w:ind w:right="14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and Significant Customers: </w:t>
      </w:r>
      <w:r>
        <w:rPr>
          <w:rFonts w:ascii="Times New Roman" w:cs="Times New Roman" w:eastAsia="Times New Roman" w:hAnsi="Times New Roman"/>
          <w:sz w:val="18"/>
          <w:szCs w:val="18"/>
          <w:color w:val="auto"/>
        </w:rPr>
        <w:t>The Company’s financial instruments that are exposed to concentration of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 consist primarily of cash and cash equivalents. The Company’s cash and cash equivalents exceeded the Federal deposit insurance limit at January 31, 2020 and July 31, 2020. The Company maintains its cash and cash equivalents with high-credit-quality financial institutions.</w:t>
      </w:r>
    </w:p>
    <w:p>
      <w:pPr>
        <w:spacing w:after="0" w:line="175"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As of January 31, 2020, two customers represented 22% of accounts receivable, 11% of which was from a customer who is an equity holder. In the quarter ended July 31, 2020, the equity holder no longer qualifies as a related party of the Company and the amounts disclosed related to such equity holder are presented as a related party through April 30, 2020, only. As of July 31, 2020, one customer represented 12% of accounts receivable. For the three and six months ended July 31, 2019 and 2020, no individual customer represented more than 10% of the Company’s total revenues.</w:t>
      </w:r>
    </w:p>
    <w:p>
      <w:pPr>
        <w:spacing w:after="0" w:line="176" w:lineRule="exact"/>
        <w:rPr>
          <w:sz w:val="20"/>
          <w:szCs w:val="20"/>
          <w:color w:val="auto"/>
        </w:rPr>
      </w:pPr>
    </w:p>
    <w:p>
      <w:pPr>
        <w:ind w:right="100" w:firstLine="8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Accounts Receivable and Allowances: </w:t>
      </w:r>
      <w:r>
        <w:rPr>
          <w:rFonts w:ascii="Times New Roman" w:cs="Times New Roman" w:eastAsia="Times New Roman" w:hAnsi="Times New Roman"/>
          <w:sz w:val="18"/>
          <w:szCs w:val="18"/>
          <w:color w:val="auto"/>
        </w:rPr>
        <w:t>A receivable is recorded when an unconditional right to invoice and receive payment exists, such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the passage of time is required before payment of consideration is due. Timing of revenue recognition may differ from the timing of invoicing to customers. Certain performance obligations may require payment before delivery of the service to the customer. We recognize a contract asset in the form of accounts receivable when we have an unconditional right to payment, and we record a contract asset in the form of unbilled accounts receivable when revenues earned on a contract exceeds the billings. The Company’s standard billing terms are annual in advance. An unbilled accounts receivable is a contract asset related to the delivery of the Company’s subscription services and professional services for which the related billings will occur in a future period. Unbilled accounts receivable consists of (i) revenues recognized for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200" w:lineRule="exact"/>
        <w:rPr>
          <w:sz w:val="20"/>
          <w:szCs w:val="20"/>
          <w:color w:val="auto"/>
        </w:rPr>
      </w:pPr>
    </w:p>
    <w:p>
      <w:pPr>
        <w:spacing w:after="0" w:line="31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professional services performed but not yet billed and (ii) revenues recognized from non-cancelable, multi-year orders in which fees increase annually but for which we are not contractually able to invoice until a future period. Accounts receivable are reported at their gross outstanding balance reduced by an allowance for estimated receivable losses.</w:t>
      </w:r>
    </w:p>
    <w:p>
      <w:pPr>
        <w:spacing w:after="0" w:line="176" w:lineRule="exact"/>
        <w:rPr>
          <w:sz w:val="20"/>
          <w:szCs w:val="20"/>
          <w:color w:val="auto"/>
        </w:rPr>
      </w:pPr>
    </w:p>
    <w:p>
      <w:pPr>
        <w:ind w:right="300" w:firstLine="891"/>
        <w:spacing w:after="0" w:line="282" w:lineRule="auto"/>
        <w:rPr>
          <w:sz w:val="20"/>
          <w:szCs w:val="20"/>
          <w:color w:val="auto"/>
        </w:rPr>
      </w:pPr>
      <w:r>
        <w:rPr>
          <w:rFonts w:ascii="Times New Roman" w:cs="Times New Roman" w:eastAsia="Times New Roman" w:hAnsi="Times New Roman"/>
          <w:sz w:val="18"/>
          <w:szCs w:val="18"/>
          <w:color w:val="auto"/>
        </w:rPr>
        <w:t>The Company records allowances for doubtful accounts based upon the credit worthiness of customers, historical experience, the age of the accounts receivable and current market and economic conditions.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summary of activity in the allowance for doubtful accounts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500" w:type="dxa"/>
            <w:vAlign w:val="bottom"/>
            <w:gridSpan w:val="4"/>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00" w:type="dxa"/>
            <w:vAlign w:val="bottom"/>
            <w:tcBorders>
              <w:bottom w:val="single" w:sz="8" w:color="auto"/>
            </w:tcBorders>
          </w:tcPr>
          <w:p>
            <w:pPr>
              <w:spacing w:after="0"/>
              <w:rPr>
                <w:sz w:val="16"/>
                <w:szCs w:val="16"/>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(recovery of) bad debt expense</w:t>
            </w:r>
          </w:p>
        </w:tc>
        <w:tc>
          <w:tcPr>
            <w:tcW w:w="1000" w:type="dxa"/>
            <w:vAlign w:val="bottom"/>
          </w:tcPr>
          <w:p>
            <w:pPr>
              <w:spacing w:after="0"/>
              <w:rPr>
                <w:sz w:val="21"/>
                <w:szCs w:val="21"/>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7"/>
        </w:trPr>
        <w:tc>
          <w:tcPr>
            <w:tcW w:w="5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uncollectible accounts</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1000" w:type="dxa"/>
            <w:vAlign w:val="bottom"/>
          </w:tcPr>
          <w:p>
            <w:pPr>
              <w:spacing w:after="0"/>
              <w:rPr>
                <w:sz w:val="21"/>
                <w:szCs w:val="21"/>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Guidance:</w:t>
      </w:r>
    </w:p>
    <w:p>
      <w:pPr>
        <w:spacing w:after="0" w:line="227" w:lineRule="exact"/>
        <w:rPr>
          <w:sz w:val="20"/>
          <w:szCs w:val="20"/>
          <w:color w:val="auto"/>
        </w:rPr>
      </w:pPr>
    </w:p>
    <w:p>
      <w:pPr>
        <w:ind w:right="160" w:firstLine="891"/>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Financial Accounting Standards Board (“FASB”) issued Accounting Standards Update (“ASU”) 2018-13,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(Topic 820): Disclosure Framework – Changes to the Disclosure Requirements for Fair Value Measurement, </w:t>
      </w:r>
      <w:r>
        <w:rPr>
          <w:rFonts w:ascii="Times New Roman" w:cs="Times New Roman" w:eastAsia="Times New Roman" w:hAnsi="Times New Roman"/>
          <w:sz w:val="18"/>
          <w:szCs w:val="18"/>
          <w:color w:val="auto"/>
        </w:rPr>
        <w:t>which eliminates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requirements for fair value measurements for all entities, requires public entities to disclose certain new information and modifies some disclosure requirements. ASU 2018-13 is effective for all entities for fiscal years beginning after December 15, 2019 and for interim periods within those fiscal years, and early adoption is permitted. An entity is permitted to early adopt either the entire standard or only the provisions that eliminate or modify requirements. The Company adopted the standard effective February 1, 2020. The adoption of this standard did not have a material impact on the Company’s unaudited condensed consolidated financial statements.</w:t>
      </w:r>
    </w:p>
    <w:p>
      <w:pPr>
        <w:spacing w:after="0" w:line="183"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Intangibles-Goodwill and Other-Internal-Use Software (Subtopic 350-40):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Implementation Costs Incurred in a Cloud Computing Arrangement That is a Service Contract. </w:t>
      </w:r>
      <w:r>
        <w:rPr>
          <w:rFonts w:ascii="Times New Roman" w:cs="Times New Roman" w:eastAsia="Times New Roman" w:hAnsi="Times New Roman"/>
          <w:sz w:val="18"/>
          <w:szCs w:val="18"/>
          <w:color w:val="auto"/>
        </w:rPr>
        <w:t>This standard aligns the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capitalizing implementation costs incurred in a hosting arrangement that is a service contract with the requirements for capitalizing implementation costs incurred to develop or obtain internal-use software. ASU 2018-15 is effective for emerging growth companies following private company adoption dates in fiscal years beginning after December 15, 2019, and interim periods within annual periods beginning after December 15, 2020, with early adoption permitted. The Company prospectively adopted the standard effective February 1, 2020. The adoption of this standard did not have a material impact on the Company’s unaudited condensed consolidated financial statements.</w:t>
      </w:r>
    </w:p>
    <w:p>
      <w:pPr>
        <w:spacing w:after="0" w:line="183" w:lineRule="exact"/>
        <w:rPr>
          <w:sz w:val="20"/>
          <w:szCs w:val="20"/>
          <w:color w:val="auto"/>
        </w:rPr>
      </w:pPr>
    </w:p>
    <w:p>
      <w:pPr>
        <w:ind w:right="140" w:firstLine="891"/>
        <w:spacing w:after="0" w:line="256" w:lineRule="auto"/>
        <w:rPr>
          <w:sz w:val="20"/>
          <w:szCs w:val="20"/>
          <w:color w:val="auto"/>
        </w:rPr>
      </w:pPr>
      <w:r>
        <w:rPr>
          <w:rFonts w:ascii="Times New Roman" w:cs="Times New Roman" w:eastAsia="Times New Roman" w:hAnsi="Times New Roman"/>
          <w:sz w:val="18"/>
          <w:szCs w:val="18"/>
          <w:color w:val="auto"/>
        </w:rPr>
        <w:t xml:space="preserve">In October 2018, the FASB issued ASU 2018-17, </w:t>
      </w:r>
      <w:r>
        <w:rPr>
          <w:rFonts w:ascii="Times New Roman" w:cs="Times New Roman" w:eastAsia="Times New Roman" w:hAnsi="Times New Roman"/>
          <w:sz w:val="18"/>
          <w:szCs w:val="18"/>
          <w:i w:val="1"/>
          <w:iCs w:val="1"/>
          <w:color w:val="auto"/>
        </w:rPr>
        <w:t>Consolidation (Topic 810), Targeted Improvements to Related Party Guidance for Variable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Entities</w:t>
      </w:r>
      <w:r>
        <w:rPr>
          <w:rFonts w:ascii="Times New Roman" w:cs="Times New Roman" w:eastAsia="Times New Roman" w:hAnsi="Times New Roman"/>
          <w:sz w:val="18"/>
          <w:szCs w:val="18"/>
          <w:color w:val="auto"/>
        </w:rPr>
        <w:t>, which addresses the cost and complexity of financial reporting associated with consolidation of variable interest entities (“VIE”).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2018-17 is effective for emerging growth companies following private company adoption dates in fiscal years beginning after December 15, 2019, and interim periods within annual periods beginning after December 15, 2020, with early adoption permitted. The new guidance must be applied on a retrospective basis as a cumulative-effect adjustment as of the date of adoption. The adoption of this standard did not impact the Company’s unaudited condensed consolidated financial statements or related disclosures upon adoption, because the Company did not, and currently does not, have any indirect interests through related parties under common control for which it receives decision-making fees.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227"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In July 2018, the FASB issued ASU</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200" w:lineRule="exact"/>
        <w:rPr>
          <w:sz w:val="20"/>
          <w:szCs w:val="20"/>
          <w:color w:val="auto"/>
        </w:rPr>
      </w:pPr>
    </w:p>
    <w:p>
      <w:pPr>
        <w:spacing w:after="0" w:line="31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xml:space="preserve"> to clarify how to apply certain aspects of the new leases standard. ASU 2016-02, as subsequently amended for various technical issues, is effective for emerging growth companies following private company adoption dates in fiscal years beginning after December 15, 2021, and interim periods within annual periods beginning after December 15, 2022, and early adoption is permitted. If the Company were to cease meeting the emerging growth company criteria during the fiscal year ending January 31, 2022, this ASU would be effective for the Company for its Annual Report on 10-K for the fiscal year ended January 31, 2022. The Company is currently evaluating the impact of this standard to the Company's financial statements.</w:t>
      </w:r>
    </w:p>
    <w:p>
      <w:pPr>
        <w:spacing w:after="0" w:line="182"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Measurement of Credit Losses on Financial Instruments</w:t>
      </w:r>
      <w:r>
        <w:rPr>
          <w:rFonts w:ascii="Times New Roman" w:cs="Times New Roman" w:eastAsia="Times New Roman" w:hAnsi="Times New Roman"/>
          <w:sz w:val="18"/>
          <w:szCs w:val="18"/>
          <w:color w:val="auto"/>
        </w:rPr>
        <w:t>, which changes the impairment model for most financial assets. The new model uses a forward-looking expected loss method, which will generally result in earlier recognition of allowances for losses. ASU 2016-13, as subsequently amended for various technical issues, is effective for emerging growth companies following private company adoption dates for fiscal years beginning after December 15, 2022 and for interim periods within those fiscal years. If the Company were to cease meeting the emerging growth company criteria during the fiscal year ending January 31, 2022, this ASU would be effective for the Company for its Annual Report on 10-K for the fiscal year ended January 31, 2022. The Company is currently evaluating the impact of this standard to the Company's financial statements.</w:t>
      </w:r>
    </w:p>
    <w:p>
      <w:pPr>
        <w:spacing w:after="0" w:line="183" w:lineRule="exact"/>
        <w:rPr>
          <w:sz w:val="20"/>
          <w:szCs w:val="20"/>
          <w:color w:val="auto"/>
        </w:rPr>
      </w:pPr>
    </w:p>
    <w:p>
      <w:pPr>
        <w:ind w:right="20" w:firstLine="891"/>
        <w:spacing w:after="0" w:line="255" w:lineRule="auto"/>
        <w:rPr>
          <w:sz w:val="20"/>
          <w:szCs w:val="20"/>
          <w:color w:val="auto"/>
        </w:rPr>
      </w:pPr>
      <w:r>
        <w:rPr>
          <w:rFonts w:ascii="Times New Roman" w:cs="Times New Roman" w:eastAsia="Times New Roman" w:hAnsi="Times New Roman"/>
          <w:sz w:val="18"/>
          <w:szCs w:val="18"/>
          <w:color w:val="auto"/>
        </w:rPr>
        <w:t>In December 2019, the FASB issued ASU 2019-12, I</w:t>
      </w:r>
      <w:r>
        <w:rPr>
          <w:rFonts w:ascii="Times New Roman" w:cs="Times New Roman" w:eastAsia="Times New Roman" w:hAnsi="Times New Roman"/>
          <w:sz w:val="18"/>
          <w:szCs w:val="18"/>
          <w:i w:val="1"/>
          <w:iCs w:val="1"/>
          <w:color w:val="auto"/>
        </w:rPr>
        <w:t>ncome Taxes (Topic 740): Simplifying the Accounting for Income Taxes</w:t>
      </w:r>
      <w:r>
        <w:rPr>
          <w:rFonts w:ascii="Times New Roman" w:cs="Times New Roman" w:eastAsia="Times New Roman" w:hAnsi="Times New Roman"/>
          <w:sz w:val="18"/>
          <w:szCs w:val="18"/>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emerging growth companies following private company adoption dates in fiscal years beginning after December 15, 2021, and interim periods within annual periods beginning after December 15, 2022, with early adoption permitted, including adoption in an interim period. If the Company were to cease meeting the emerging growth company criteria during the fiscal year ending January 31, 2022, this ASU would be effective for the Company for its Annual Report on 10-K for the fiscal year ended January 31, 2022. The Company is evaluating the effect of adopting this new accounting guidance, but does not expect adoption will have a material impact on the Company’s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Variable Interest Entity and Redeemable Non-Controlling Interest</w:t>
      </w:r>
    </w:p>
    <w:p>
      <w:pPr>
        <w:spacing w:after="0" w:line="229" w:lineRule="exact"/>
        <w:rPr>
          <w:sz w:val="20"/>
          <w:szCs w:val="20"/>
          <w:color w:val="auto"/>
        </w:rPr>
      </w:pPr>
    </w:p>
    <w:p>
      <w:pPr>
        <w:ind w:right="180" w:firstLine="891"/>
        <w:spacing w:after="0" w:line="261" w:lineRule="auto"/>
        <w:rPr>
          <w:sz w:val="20"/>
          <w:szCs w:val="20"/>
          <w:color w:val="auto"/>
        </w:rPr>
      </w:pPr>
      <w:r>
        <w:rPr>
          <w:rFonts w:ascii="Times New Roman" w:cs="Times New Roman" w:eastAsia="Times New Roman" w:hAnsi="Times New Roman"/>
          <w:sz w:val="18"/>
          <w:szCs w:val="18"/>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July 31, 2020, the Company controls a majority of the outstanding common stock in nCino K.K.</w:t>
      </w:r>
    </w:p>
    <w:p>
      <w:pPr>
        <w:spacing w:after="0" w:line="180"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color w:val="auto"/>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 and the balance is reported at the greater of the initial carrying amount adjusted for the redeemable non-controlling interests’ share of earnings, or its estimated redemption value. The resulting changes in the estimated redemption amount are recorded within retained earnings or, in the absence of retained earnings, additional paid-in capital. The estimated redemption value of the call/put option embedded in the redeemable non-controlling interest was $0.3 million at July 31, 2020.</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Variable Interest Entity and Redeemable Non-Controlling Interest (Continued)</w:t>
      </w:r>
    </w:p>
    <w:p>
      <w:pPr>
        <w:spacing w:after="0" w:line="200" w:lineRule="exact"/>
        <w:rPr>
          <w:sz w:val="20"/>
          <w:szCs w:val="20"/>
          <w:color w:val="auto"/>
        </w:rPr>
      </w:pPr>
    </w:p>
    <w:p>
      <w:pPr>
        <w:spacing w:after="0" w:line="3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activity in the redeemable non-controlling interests for the period indicated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440" w:type="dxa"/>
            <w:vAlign w:val="bottom"/>
            <w:gridSpan w:val="4"/>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376"/>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00" w:type="dxa"/>
            <w:vAlign w:val="bottom"/>
            <w:tcBorders>
              <w:bottom w:val="single" w:sz="8" w:color="auto"/>
            </w:tcBorders>
          </w:tcPr>
          <w:p>
            <w:pPr>
              <w:spacing w:after="0"/>
              <w:rPr>
                <w:sz w:val="16"/>
                <w:szCs w:val="16"/>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1020" w:type="dxa"/>
            <w:vAlign w:val="bottom"/>
          </w:tcPr>
          <w:p>
            <w:pPr>
              <w:spacing w:after="0"/>
              <w:rPr>
                <w:sz w:val="21"/>
                <w:szCs w:val="21"/>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7"/>
        </w:trPr>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redeemable non-controlling interest</w:t>
            </w:r>
          </w:p>
        </w:tc>
        <w:tc>
          <w:tcPr>
            <w:tcW w:w="1020" w:type="dxa"/>
            <w:vAlign w:val="bottom"/>
          </w:tcPr>
          <w:p>
            <w:pPr>
              <w:spacing w:after="0"/>
              <w:rPr>
                <w:sz w:val="21"/>
                <w:szCs w:val="21"/>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7"/>
        </w:trPr>
        <w:tc>
          <w:tcPr>
            <w:tcW w:w="5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the valuation methodologies in measuring fair value:</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Significant other inputs that are directly or indirectly observable in the marketplace.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Significant unobservable inputs which are supported by little or no market activity.</w:t>
      </w:r>
    </w:p>
    <w:p>
      <w:pPr>
        <w:spacing w:after="0" w:line="229" w:lineRule="exact"/>
        <w:rPr>
          <w:sz w:val="20"/>
          <w:szCs w:val="20"/>
          <w:color w:val="auto"/>
        </w:rPr>
      </w:pPr>
    </w:p>
    <w:p>
      <w:pPr>
        <w:ind w:right="60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amounts of cash equivalents, accounts receivable and accounts payable approximate fair value as of January 31, 2020 and July 31, 2020 because of the relatively short duration of these instruments.</w:t>
      </w:r>
    </w:p>
    <w:p>
      <w:pPr>
        <w:spacing w:after="0" w:line="162"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2020 and July 31, 2020 and indicates the fair value hierarchy of the valuation:</w:t>
      </w:r>
    </w:p>
    <w:p>
      <w:pPr>
        <w:spacing w:after="0" w:line="223"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 January</w:t>
      </w:r>
    </w:p>
    <w:p>
      <w:pPr>
        <w:spacing w:after="0" w:line="6"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13335</wp:posOffset>
            </wp:positionV>
            <wp:extent cx="24085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5"/>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tc>
        <w:tc>
          <w:tcPr>
            <w:tcW w:w="28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67,119</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(included in other long-term liabilities)</w:t>
            </w:r>
          </w:p>
        </w:tc>
        <w:tc>
          <w:tcPr>
            <w:tcW w:w="280" w:type="dxa"/>
            <w:vAlign w:val="bottom"/>
            <w:tcBorders>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23"/>
                <w:szCs w:val="23"/>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2"/>
                <w:szCs w:val="22"/>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7"/>
        </w:trPr>
        <w:tc>
          <w:tcPr>
            <w:tcW w:w="7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60" w:type="dxa"/>
            <w:vAlign w:val="bottom"/>
            <w:gridSpan w:val="1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 July 31,</w:t>
            </w:r>
          </w:p>
        </w:tc>
        <w:tc>
          <w:tcPr>
            <w:tcW w:w="0" w:type="dxa"/>
            <w:vAlign w:val="bottom"/>
          </w:tcPr>
          <w:p>
            <w:pPr>
              <w:spacing w:after="0"/>
              <w:rPr>
                <w:sz w:val="1"/>
                <w:szCs w:val="1"/>
                <w:color w:val="auto"/>
              </w:rPr>
            </w:pPr>
          </w:p>
        </w:tc>
      </w:tr>
      <w:tr>
        <w:trPr>
          <w:trHeight w:val="195"/>
        </w:trPr>
        <w:tc>
          <w:tcPr>
            <w:tcW w:w="7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5"/>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tc>
        <w:tc>
          <w:tcPr>
            <w:tcW w:w="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353,857</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353,857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(included in other accrued expenses)</w:t>
            </w:r>
          </w:p>
        </w:tc>
        <w:tc>
          <w:tcPr>
            <w:tcW w:w="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 (Continued)</w:t>
      </w:r>
    </w:p>
    <w:p>
      <w:pPr>
        <w:spacing w:after="0" w:line="200" w:lineRule="exact"/>
        <w:rPr>
          <w:sz w:val="20"/>
          <w:szCs w:val="20"/>
          <w:color w:val="auto"/>
        </w:rPr>
      </w:pPr>
    </w:p>
    <w:p>
      <w:pPr>
        <w:spacing w:after="0" w:line="313"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62"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The Company added contingent consideration, a Level 3 measurement, on October 18, 2019 with the acquisition of FinSuite Pty Ltd. Changes in fair value of the contingent consideration are recorded in the unaudited condensed consolidated statements of operations within other income. The Company’s contingent consideration is valued using a probability weighted discounted cash flow analysis. A reconciliation of the balance for contingent consideration obligations for the three and six months ended July 31, 2020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43"/>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Translation adjustments</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Revenues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7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by Geographic Area</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Revenues by geographic region were as follows: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7"/>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6"/>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98"/>
              </w:rPr>
              <w:t>July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57,332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84,520</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61,814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firstLine="891"/>
        <w:spacing w:after="0" w:line="282" w:lineRule="auto"/>
        <w:rPr>
          <w:sz w:val="20"/>
          <w:szCs w:val="20"/>
          <w:color w:val="auto"/>
        </w:rPr>
      </w:pPr>
      <w:r>
        <w:rPr>
          <w:rFonts w:ascii="Times New Roman" w:cs="Times New Roman" w:eastAsia="Times New Roman" w:hAnsi="Times New Roman"/>
          <w:sz w:val="18"/>
          <w:szCs w:val="18"/>
          <w:color w:val="auto"/>
        </w:rPr>
        <w:t>Revenues by geography are determined based on the region of the Company’s contracting entity, which may be different than the region of the customer. No country outside the United States represented 10% or more of total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Amounts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is as follows as of January 31, 2020 and July 31,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220" w:type="dxa"/>
            <w:vAlign w:val="bottom"/>
          </w:tcPr>
          <w:p>
            <w:pPr>
              <w:spacing w:after="0"/>
              <w:rPr>
                <w:sz w:val="13"/>
                <w:szCs w:val="13"/>
                <w:color w:val="auto"/>
              </w:rPr>
            </w:pPr>
          </w:p>
        </w:tc>
        <w:tc>
          <w:tcPr>
            <w:tcW w:w="12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of July 31,</w:t>
            </w:r>
          </w:p>
        </w:tc>
      </w:tr>
      <w:tr>
        <w:trPr>
          <w:trHeight w:val="195"/>
        </w:trPr>
        <w:tc>
          <w:tcPr>
            <w:tcW w:w="8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29,082</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Revenues (Continued)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Revenue and Remaining Performance Obligation</w:t>
      </w:r>
    </w:p>
    <w:p>
      <w:pPr>
        <w:spacing w:after="0" w:line="225"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Significant movements in the deferred revenue balance during the period consisted of increases due to payments received prior to transfer of control of the underlying performance obligations to the customer, which were offset by decreases due to revenues recognized in the period. During the six months ended July 31, 2020, $43.1 million of revenues were recognized that were included in the balance of deferred revenue as of January 31, 2020.</w:t>
      </w:r>
    </w:p>
    <w:p>
      <w:pPr>
        <w:spacing w:after="0" w:line="176"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Transaction price allocated to remaining performance obligations represents contracted revenues that have not yet been recognized, which includes deferred revenue and unbilled amounts that will be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spacing w:after="0" w:line="183" w:lineRule="exact"/>
        <w:rPr>
          <w:sz w:val="20"/>
          <w:szCs w:val="20"/>
          <w:color w:val="auto"/>
        </w:rPr>
      </w:pPr>
    </w:p>
    <w:p>
      <w:pPr>
        <w:ind w:right="660" w:firstLine="891"/>
        <w:spacing w:after="0" w:line="282" w:lineRule="auto"/>
        <w:rPr>
          <w:sz w:val="20"/>
          <w:szCs w:val="20"/>
          <w:color w:val="auto"/>
        </w:rPr>
      </w:pPr>
      <w:r>
        <w:rPr>
          <w:rFonts w:ascii="Times New Roman" w:cs="Times New Roman" w:eastAsia="Times New Roman" w:hAnsi="Times New Roman"/>
          <w:sz w:val="18"/>
          <w:szCs w:val="18"/>
          <w:color w:val="auto"/>
        </w:rPr>
        <w:t>Remaining performance obligations were $455.7 million as of July 31, 2020. The Company expects to recognize 66% of its remaining performance obligation as revenues in the next 24 months, 30% more in the following 25 to 48 months, and the remainder thereafter.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Visible Equity, LLC</w:t>
      </w:r>
    </w:p>
    <w:p>
      <w:pPr>
        <w:spacing w:after="0" w:line="229" w:lineRule="exact"/>
        <w:rPr>
          <w:sz w:val="20"/>
          <w:szCs w:val="20"/>
          <w:color w:val="auto"/>
        </w:rPr>
      </w:pPr>
    </w:p>
    <w:p>
      <w:pPr>
        <w:jc w:val="both"/>
        <w:ind w:right="500" w:firstLine="891"/>
        <w:spacing w:after="0" w:line="266" w:lineRule="auto"/>
        <w:rPr>
          <w:sz w:val="20"/>
          <w:szCs w:val="20"/>
          <w:color w:val="auto"/>
        </w:rPr>
      </w:pPr>
      <w:r>
        <w:rPr>
          <w:rFonts w:ascii="Times New Roman" w:cs="Times New Roman" w:eastAsia="Times New Roman" w:hAnsi="Times New Roman"/>
          <w:sz w:val="18"/>
          <w:szCs w:val="18"/>
          <w:color w:val="auto"/>
        </w:rPr>
        <w:t>On July 8, 2019, the Company acquired all outstanding membership interests of Visible Equity, LLC (“Visible Equity”) which provides financial analytics, portfolio management and compliance solutions to banks and credit unions. The Company acquired Visible Equity for its product offerings and the domain expertise of its employees. Visible Equity is headquartered in Salt Lake City, Utah.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acquisition-date fair value of the consideration transferred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5"/>
        </w:trPr>
        <w:tc>
          <w:tcPr>
            <w:tcW w:w="9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Consideration</w:t>
            </w:r>
          </w:p>
        </w:tc>
      </w:tr>
      <w:tr>
        <w:trPr>
          <w:trHeight w:val="249"/>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 to members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49,428</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Voting common stock issued (1,438,805 shares)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23,812</w:t>
            </w:r>
          </w:p>
        </w:tc>
      </w:tr>
      <w:tr>
        <w:trPr>
          <w:trHeight w:val="27"/>
        </w:trPr>
        <w:tc>
          <w:tcPr>
            <w:tcW w:w="9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73,240</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60" w:firstLine="891"/>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 The measurement period ended one year from the acquisition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Finsuite Pty Ltd</w:t>
      </w:r>
    </w:p>
    <w:p>
      <w:pPr>
        <w:spacing w:after="0" w:line="229"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On October 18, 2019, the Company, through its wholly-owned subsidiary, nCino APAC Pty Ltd, acquired all of the outstanding shares of FinSuite Pty Ltd (“FinSuite”). The Company acquired FinSuite to enhance the Company’s data recognition capabilities, including of complex, unstructured data. FinSuite is headquartered in Melbourne, Australia.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Business Combinations (Continued)</w:t>
      </w:r>
    </w:p>
    <w:p>
      <w:pPr>
        <w:spacing w:after="0" w:line="200" w:lineRule="exact"/>
        <w:rPr>
          <w:sz w:val="20"/>
          <w:szCs w:val="20"/>
          <w:color w:val="auto"/>
        </w:rPr>
      </w:pPr>
    </w:p>
    <w:p>
      <w:pPr>
        <w:spacing w:after="0" w:line="3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acquisition-date fair value of the consideration transferred is as follows:</w:t>
      </w:r>
    </w:p>
    <w:p>
      <w:pPr>
        <w:spacing w:after="0" w:line="273" w:lineRule="exact"/>
        <w:rPr>
          <w:sz w:val="20"/>
          <w:szCs w:val="20"/>
          <w:color w:val="auto"/>
        </w:rPr>
      </w:pPr>
    </w:p>
    <w:p>
      <w:pPr>
        <w:jc w:val="center"/>
        <w:ind w:left="976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6" w:lineRule="exact"/>
        <w:rPr>
          <w:sz w:val="20"/>
          <w:szCs w:val="20"/>
          <w:color w:val="auto"/>
        </w:rPr>
      </w:pPr>
    </w:p>
    <w:p>
      <w:pPr>
        <w:jc w:val="center"/>
        <w:ind w:left="9760"/>
        <w:spacing w:after="0"/>
        <w:rPr>
          <w:sz w:val="20"/>
          <w:szCs w:val="20"/>
          <w:color w:val="auto"/>
        </w:rPr>
      </w:pPr>
      <w:r>
        <w:rPr>
          <w:rFonts w:ascii="Times New Roman" w:cs="Times New Roman" w:eastAsia="Times New Roman" w:hAnsi="Times New Roman"/>
          <w:sz w:val="14"/>
          <w:szCs w:val="14"/>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consideration to shareholders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consideration to settle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Voting common stock issued (63,967 shares)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Contingent consideration - cash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Contingent consideration - voting common stock</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consideration</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940" w:hanging="940"/>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3,928</w:t>
      </w:r>
    </w:p>
    <w:p>
      <w:pPr>
        <w:spacing w:after="0" w:line="63"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1,392</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197</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9258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57" w:lineRule="exact"/>
        <w:rPr>
          <w:sz w:val="20"/>
          <w:szCs w:val="20"/>
          <w:color w:val="auto"/>
        </w:rPr>
      </w:pPr>
    </w:p>
    <w:p>
      <w:pPr>
        <w:ind w:left="880" w:hanging="880"/>
        <w:spacing w:after="0"/>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41910</wp:posOffset>
            </wp:positionV>
            <wp:extent cx="9258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67310</wp:posOffset>
            </wp:positionV>
            <wp:extent cx="9258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9080" w:space="720"/>
            <w:col w:w="1440"/>
          </w:cols>
          <w:pgMar w:left="320" w:top="121" w:right="339" w:bottom="1440" w:gutter="0" w:footer="0" w:header="0"/>
          <w:type w:val="continuous"/>
        </w:sectPr>
      </w:pPr>
    </w:p>
    <w:p>
      <w:pPr>
        <w:spacing w:after="0" w:line="79" w:lineRule="exact"/>
        <w:rPr>
          <w:sz w:val="20"/>
          <w:szCs w:val="20"/>
          <w:color w:val="auto"/>
        </w:rPr>
      </w:pPr>
    </w:p>
    <w:p>
      <w:pPr>
        <w:jc w:val="both"/>
        <w:ind w:right="160" w:firstLine="891"/>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 The measurement period will end one year from the acquisition date.</w:t>
      </w:r>
    </w:p>
    <w:p>
      <w:pPr>
        <w:spacing w:after="0" w:line="176"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Contingent consideration includes two tranches of earn-out arrangements based upon the attainment of post-acquisition product development milestones. The first tranche includes an earn-out opportunity of $0.1 million of cash and the issuance of 142,846 shares of voting common stock (together, the “Initial Tranche Earn-Out”). The Initial Tranche Earn-Out is conditioned upon the development of a stated product in accordance with mutually agreed upon functional requirements within a certain period from the date of acquisition. The second tranche includes an earn-out opportunity of $0.1 million of cash and the issuance of 142,846 shares of voting common stock (together, the “Final Tranche Earn-Out”). The Final Tranche Earn-Out is conditioned upon a customer’s use of the stated product in a production environment according to the mutually agreed upon functional requirements within a certain period from the date of acquisition. The Final Tranche Earn-Out is not conditioned upon the achievement of the Initial Tranche Earn-Out.</w:t>
      </w:r>
    </w:p>
    <w:p>
      <w:pPr>
        <w:spacing w:after="0" w:line="189" w:lineRule="exact"/>
        <w:rPr>
          <w:sz w:val="20"/>
          <w:szCs w:val="20"/>
          <w:color w:val="auto"/>
        </w:rPr>
      </w:pPr>
    </w:p>
    <w:p>
      <w:pPr>
        <w:ind w:right="100" w:firstLine="891"/>
        <w:spacing w:after="0" w:line="261" w:lineRule="auto"/>
        <w:rPr>
          <w:sz w:val="20"/>
          <w:szCs w:val="20"/>
          <w:color w:val="auto"/>
        </w:rPr>
      </w:pPr>
      <w:r>
        <w:rPr>
          <w:rFonts w:ascii="Times New Roman" w:cs="Times New Roman" w:eastAsia="Times New Roman" w:hAnsi="Times New Roman"/>
          <w:sz w:val="18"/>
          <w:szCs w:val="18"/>
          <w:color w:val="auto"/>
        </w:rPr>
        <w:t>The cash portion of the contingent consideration of $0.2 million is included in other long-term liabilities and other accrued expenses in the accompanying unaudited condensed consolidated balance sheet as of January 31, 2020 and July 31, 2020, respectively. The share portion of the contingent consideration was recorded as of the acquisition date and is reflected as a component of stockholders’ equity in the accompanying unaudited condensed consolidated balance sheet as of January 31, 2020 and July 31, 2020.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Intangible assets, net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January 31, 2020</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July 31, 2020</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49"/>
        </w:trPr>
        <w:tc>
          <w:tcPr>
            <w:tcW w:w="3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376"/>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12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240" w:type="dxa"/>
            <w:vAlign w:val="bottom"/>
          </w:tcPr>
          <w:p>
            <w:pPr>
              <w:spacing w:after="0"/>
              <w:rPr>
                <w:sz w:val="12"/>
                <w:szCs w:val="12"/>
                <w:color w:val="auto"/>
              </w:rPr>
            </w:pPr>
          </w:p>
        </w:tc>
        <w:tc>
          <w:tcPr>
            <w:tcW w:w="11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140" w:type="dxa"/>
            <w:vAlign w:val="bottom"/>
          </w:tcPr>
          <w:p>
            <w:pPr>
              <w:jc w:val="right"/>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5"/>
        </w:trPr>
        <w:tc>
          <w:tcPr>
            <w:tcW w:w="3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r>
      <w:tr>
        <w:trPr>
          <w:trHeight w:val="24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19,941</w:t>
            </w:r>
          </w:p>
        </w:tc>
      </w:tr>
      <w:tr>
        <w:trPr>
          <w:trHeight w:val="27"/>
        </w:trPr>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0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24,636</w:t>
            </w:r>
          </w:p>
        </w:tc>
      </w:tr>
      <w:tr>
        <w:trPr>
          <w:trHeight w:val="27"/>
        </w:trPr>
        <w:tc>
          <w:tcPr>
            <w:tcW w:w="3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 and Goodwill (Continued)</w:t>
      </w:r>
    </w:p>
    <w:p>
      <w:pPr>
        <w:spacing w:after="0" w:line="200" w:lineRule="exact"/>
        <w:rPr>
          <w:sz w:val="20"/>
          <w:szCs w:val="20"/>
          <w:color w:val="auto"/>
        </w:rPr>
      </w:pPr>
    </w:p>
    <w:p>
      <w:pPr>
        <w:spacing w:after="0" w:line="3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amortization expense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0" w:type="dxa"/>
            <w:vAlign w:val="bottom"/>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r>
      <w:tr>
        <w:trPr>
          <w:trHeight w:val="195"/>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00" w:type="dxa"/>
            <w:vAlign w:val="bottom"/>
            <w:tcBorders>
              <w:bottom w:val="single" w:sz="8" w:color="auto"/>
            </w:tcBorders>
          </w:tcPr>
          <w:p>
            <w:pPr>
              <w:spacing w:after="0"/>
              <w:rPr>
                <w:sz w:val="16"/>
                <w:szCs w:val="16"/>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420" w:type="dxa"/>
            <w:vAlign w:val="bottom"/>
            <w:tcBorders>
              <w:bottom w:val="single" w:sz="8" w:color="CCEEFF"/>
            </w:tcBorders>
          </w:tcPr>
          <w:p>
            <w:pPr>
              <w:spacing w:after="0"/>
              <w:rPr>
                <w:sz w:val="17"/>
                <w:szCs w:val="17"/>
                <w:color w:val="auto"/>
              </w:rPr>
            </w:pPr>
          </w:p>
        </w:tc>
        <w:tc>
          <w:tcPr>
            <w:tcW w:w="27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98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796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7780" w:type="dxa"/>
            <w:vAlign w:val="bottom"/>
            <w:gridSpan w:val="6"/>
          </w:tcPr>
          <w:p>
            <w:pPr>
              <w:ind w:left="880"/>
              <w:spacing w:after="0"/>
              <w:rPr>
                <w:sz w:val="20"/>
                <w:szCs w:val="20"/>
                <w:color w:val="auto"/>
              </w:rPr>
            </w:pPr>
            <w:r>
              <w:rPr>
                <w:rFonts w:ascii="Times New Roman" w:cs="Times New Roman" w:eastAsia="Times New Roman" w:hAnsi="Times New Roman"/>
                <w:sz w:val="18"/>
                <w:szCs w:val="18"/>
                <w:color w:val="auto"/>
                <w:w w:val="99"/>
              </w:rPr>
              <w:t>The expected future amortization expense for intangible assets as of July 31, 2020 is as follows: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Ending January 31,</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2420" w:type="dxa"/>
            <w:vAlign w:val="bottom"/>
            <w:tcBorders>
              <w:top w:val="single" w:sz="8" w:color="auto"/>
            </w:tcBorders>
          </w:tcPr>
          <w:p>
            <w:pPr>
              <w:spacing w:after="0"/>
              <w:rPr>
                <w:sz w:val="4"/>
                <w:szCs w:val="4"/>
                <w:color w:val="auto"/>
              </w:rPr>
            </w:pPr>
          </w:p>
        </w:tc>
        <w:tc>
          <w:tcPr>
            <w:tcW w:w="27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(remaining)</w:t>
            </w: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4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7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24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7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12,425</w:t>
            </w:r>
          </w:p>
        </w:tc>
      </w:tr>
      <w:tr>
        <w:trPr>
          <w:trHeight w:val="27"/>
        </w:trPr>
        <w:tc>
          <w:tcPr>
            <w:tcW w:w="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242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The carrying amount of goodwill was $55.8 million and $56.5 million as of January 31, 2020 and July 31, 2020, respectively. The change in goodwill is due to translation adjustments and was $0.0 million and $0.9 million for the three months ended July 31, 2019 and 2020, respectively, and $0.0 million and $0.7 million for the six months ended July 31, 2019 and 2020,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Reseller Agreement</w:t>
      </w:r>
    </w:p>
    <w:p>
      <w:pPr>
        <w:spacing w:after="0" w:line="229" w:lineRule="exact"/>
        <w:rPr>
          <w:sz w:val="20"/>
          <w:szCs w:val="20"/>
          <w:color w:val="auto"/>
        </w:rPr>
      </w:pPr>
    </w:p>
    <w:p>
      <w:pPr>
        <w:ind w:right="20" w:firstLine="891"/>
        <w:spacing w:after="0" w:line="255" w:lineRule="auto"/>
        <w:rPr>
          <w:sz w:val="20"/>
          <w:szCs w:val="20"/>
          <w:color w:val="auto"/>
        </w:rPr>
      </w:pPr>
      <w:r>
        <w:rPr>
          <w:rFonts w:ascii="Times New Roman" w:cs="Times New Roman" w:eastAsia="Times New Roman" w:hAnsi="Times New Roman"/>
          <w:sz w:val="18"/>
          <w:szCs w:val="18"/>
          <w:color w:val="auto"/>
        </w:rPr>
        <w:t>The Company has a reseller agreement in place with a related party to utilize their platform and to develop the Company’s cloud-based banking software as an application within the related party’s hosted environment. In June 2020, this agreement was renegotiated and expires in June 2027 and will automatically renew in annual increments thereafter unless either party gives notice of non-renewal before the end of the initial term or the respective renewal term. Cost of subscription revenues in each of the three and six months ended July 31, 2019 and 2020 substantially consists of fees paid for access to the related party’s platform, including their hosting infrastructure and data center operations. The Company has recorded expenses of $5.4 million and $8.7 million for the three months ended July 31, 2019 and 2020, respectively and $10.4 million and $16.2 million for the six months ended July 31, 2019 and 2020, respectively. See also Note 12.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229"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Pursuant to the fourth certificate of amendment to the Company's third amended and restated certificate of incorporation dated July 6, 2020, each share of voting and non-voting common stock issued and outstanding prior to the effectiveness was reclassified into a single class of stock designated as common stock which has one vote per share. Subsequent to the effectiveness of the Company's amended and restated certificate of incorporation, the Company's common stock consists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 (Continued)</w:t>
      </w:r>
    </w:p>
    <w:p>
      <w:pPr>
        <w:spacing w:after="0" w:line="200" w:lineRule="exact"/>
        <w:rPr>
          <w:sz w:val="20"/>
          <w:szCs w:val="20"/>
          <w:color w:val="auto"/>
        </w:rPr>
      </w:pPr>
    </w:p>
    <w:p>
      <w:pPr>
        <w:spacing w:after="0" w:line="31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of 500,000,000 authorized shares, par value $0.0005 per share and the Company's preferred stock consists of 10,000,000 authorized shares, par value $0.001 per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At July 31, 2020, the Company committed a total of 24,785,528 shares of common stock for future issuance as follows:</w:t>
            </w:r>
          </w:p>
        </w:tc>
        <w:tc>
          <w:tcPr>
            <w:tcW w:w="1440" w:type="dxa"/>
            <w:vAlign w:val="bottom"/>
          </w:tcPr>
          <w:p>
            <w:pPr>
              <w:spacing w:after="0"/>
              <w:rPr>
                <w:sz w:val="20"/>
                <w:szCs w:val="20"/>
                <w:color w:val="auto"/>
              </w:rPr>
            </w:pPr>
          </w:p>
        </w:tc>
      </w:tr>
      <w:tr>
        <w:trPr>
          <w:trHeight w:val="243"/>
        </w:trPr>
        <w:tc>
          <w:tcPr>
            <w:tcW w:w="98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stock options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7,464,094</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issued and outstanding restricted stock units ("RSUs")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2,041,093</w:t>
            </w:r>
          </w:p>
        </w:tc>
      </w:tr>
      <w:tr>
        <w:trPr>
          <w:trHeight w:val="27"/>
        </w:trPr>
        <w:tc>
          <w:tcPr>
            <w:tcW w:w="9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Possible issuance under stock plans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15,280,341</w:t>
            </w:r>
          </w:p>
        </w:tc>
      </w:tr>
      <w:tr>
        <w:trPr>
          <w:trHeight w:val="237"/>
        </w:trPr>
        <w:tc>
          <w:tcPr>
            <w:tcW w:w="98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24,785,528</w:t>
            </w:r>
          </w:p>
        </w:tc>
      </w:tr>
      <w:tr>
        <w:trPr>
          <w:trHeight w:val="27"/>
        </w:trPr>
        <w:tc>
          <w:tcPr>
            <w:tcW w:w="98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
        </w:trPr>
        <w:tc>
          <w:tcPr>
            <w:tcW w:w="98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has stock-based compensation plans that provide for the award of equity incentives, including stock options, stock appreciation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restricted stock awards, restricted stock units, performance shares, performance units, cash-based award and other stock-based awards.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2020, the Company had stock options outstanding under the 2014 Stock Plan ("2014 Plan") and the 2019 Equity Incentive Plan had stock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RSUs outstanding. As of July 31, 2020, the Company also has an employee stock purchase plan.</w:t>
      </w:r>
    </w:p>
    <w:p>
      <w:pPr>
        <w:spacing w:after="0" w:line="207"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In connection with the IPO, the Board of Directors adopted and stockholders approved an amended and restated 2019 Equity Incentive Plan ("2019 Plan") to, among other things as defined in the 2019 Plan document, increase the available shares under the Plan to 15,250,000, plus an annual increase added on the first day of each fiscal year, beginning with the fiscal year ending January 31, 2022, and continuing until, and including, the fiscal year ending January 31, 2031. The annual increase will be equal to the lesser of (i) 5% of the number of shares issued and outstanding as of January 31 of the immediately preceding fiscal year and (ii) an amount determined by the Company's Board of Directors. The Company ceased granting awards under the 2014 Plan during the fiscal year ended January 31, 2020, and all shares that remained available for issuance under the 2014 Plan were transferred to the 2019 Plan prior to the closing of the IPO. Additionally, the number of shares available under the 2019 Plan shall be increased by the number of shares outstanding under the 2014 Plan that expire, terminate or are canceled without having been exercised or settled in full.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Stock option activity during the six months ended July 31, 2020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2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31, 2020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7,837,023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Expired or forfeited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July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7,464,094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July 31, 2020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5,542,247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vested or expected to vest, July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6,717,685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40" w:firstLine="891"/>
        <w:spacing w:after="0" w:line="282" w:lineRule="auto"/>
        <w:rPr>
          <w:sz w:val="20"/>
          <w:szCs w:val="20"/>
          <w:color w:val="auto"/>
        </w:rPr>
      </w:pPr>
      <w:r>
        <w:rPr>
          <w:rFonts w:ascii="Times New Roman" w:cs="Times New Roman" w:eastAsia="Times New Roman" w:hAnsi="Times New Roman"/>
          <w:sz w:val="18"/>
          <w:szCs w:val="18"/>
          <w:color w:val="auto"/>
        </w:rPr>
        <w:t>As of July 31, 2020, there was $5.5 million of total unrecognized compensation expense related to unvested stock-based compensation arrangements under the 2014 and 2019 Plans. That cost is expected to be recognized over a weighted average period of 1.53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8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Note 10. Stock-Based Compensation (Continued)</w:t>
      </w: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Restricted stock unit (“RSU”) activity during the six months ended July 31, 2020 was as follows:</w:t>
      </w:r>
    </w:p>
    <w:p>
      <w:pPr>
        <w:spacing w:after="0" w:line="26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080" w:type="dxa"/>
            <w:vAlign w:val="bottom"/>
            <w:vMerge w:val="restart"/>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5"/>
        </w:trPr>
        <w:tc>
          <w:tcPr>
            <w:tcW w:w="694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31, 2020</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948,119</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43"/>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43"/>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July 31, 2020</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2,041,093</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17,500 RSUs that were not issued and outstanding as of July 31, 2020.</w:t>
      </w:r>
    </w:p>
    <w:p>
      <w:pPr>
        <w:spacing w:after="0" w:line="168" w:lineRule="exact"/>
        <w:rPr>
          <w:sz w:val="20"/>
          <w:szCs w:val="20"/>
          <w:color w:val="auto"/>
        </w:rPr>
      </w:pPr>
    </w:p>
    <w:p>
      <w:pPr>
        <w:ind w:left="80" w:right="360" w:firstLine="891"/>
        <w:spacing w:after="0" w:line="281" w:lineRule="auto"/>
        <w:rPr>
          <w:sz w:val="20"/>
          <w:szCs w:val="20"/>
          <w:color w:val="auto"/>
        </w:rPr>
      </w:pPr>
      <w:r>
        <w:rPr>
          <w:rFonts w:ascii="Times New Roman" w:cs="Times New Roman" w:eastAsia="Times New Roman" w:hAnsi="Times New Roman"/>
          <w:sz w:val="17"/>
          <w:szCs w:val="17"/>
          <w:color w:val="auto"/>
        </w:rPr>
        <w:t>The RSUs granted prior to the IPO vest upon the satisfaction of both a service-based, generally over 4 years, vesting 25% annually, and liquidity event-based vesting condition. For RSUs granted to the non-employee members of the Board of Directors, some vest in less than a year, some annually and some over three years. The liquidity event-based condition was satisfied upon the completion of the IPO and the Company recognized an expense of $12.2 million in cost of revenues and operating expenses for RSUs as of that date, using the accelerated attribution recognition method.</w:t>
      </w:r>
    </w:p>
    <w:p>
      <w:pPr>
        <w:spacing w:after="0" w:line="164" w:lineRule="exact"/>
        <w:rPr>
          <w:sz w:val="20"/>
          <w:szCs w:val="20"/>
          <w:color w:val="auto"/>
        </w:rPr>
      </w:pPr>
    </w:p>
    <w:p>
      <w:pPr>
        <w:ind w:left="80" w:right="240" w:firstLine="891"/>
        <w:spacing w:after="0" w:line="266" w:lineRule="auto"/>
        <w:rPr>
          <w:sz w:val="20"/>
          <w:szCs w:val="20"/>
          <w:color w:val="auto"/>
        </w:rPr>
      </w:pPr>
      <w:r>
        <w:rPr>
          <w:rFonts w:ascii="Times New Roman" w:cs="Times New Roman" w:eastAsia="Times New Roman" w:hAnsi="Times New Roman"/>
          <w:sz w:val="18"/>
          <w:szCs w:val="18"/>
          <w:color w:val="auto"/>
        </w:rPr>
        <w:t>As of July 31, 2020, total unrecognized compensation expense related to non-vested RSUs was $30.7 million, adjusted for estimated forfeitures, based on the estimated fair value of the Company’s common stock at the time of grant. The weighted-average period to be recognized is 3.52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left="80" w:right="120" w:firstLine="891"/>
        <w:spacing w:after="0" w:line="254" w:lineRule="auto"/>
        <w:rPr>
          <w:sz w:val="20"/>
          <w:szCs w:val="20"/>
          <w:color w:val="auto"/>
        </w:rPr>
      </w:pPr>
      <w:r>
        <w:rPr>
          <w:rFonts w:ascii="Times New Roman" w:cs="Times New Roman" w:eastAsia="Times New Roman" w:hAnsi="Times New Roman"/>
          <w:sz w:val="18"/>
          <w:szCs w:val="18"/>
          <w:color w:val="auto"/>
        </w:rPr>
        <w:t>In July 2020, the Board of Directors adopted and stockholders approved the Employee Stock Purchase Plan (the "ESPP"), which became effective immediately prior to the closing of the IPO. The ESPP includes two components, one component is intended to qualify as an "employee stock purchase plan" within the meaning of Section 423 of the Internal Revenue Code (the "Code) and a component that does not qualify as an "employee stock purchase plan" under Section 423 of the Code. The ESPP initially reserved and authorized the issuance of up to a total of 1,800,000 shares of common stock to participating employees. The aggregate number of shares of the Company's common stock under the ESPP will automatically increase on the first day of each fiscal year, beginning with the first fiscal year ending January 31, 2022 and continuing until the fiscal year ended January 31, 2031, by an amount equal to the lesser of (i) 1% of the shares of the Company's common stock issued and outstanding on January 31 of the immediately preceding fiscal year, (ii) 1,800,000 shares of the Company's common stock or (iii) an amount determined by the Board of Directors. As of July 31, 2020, 1,800,000 shares of common stock remain available for grant under the ESPP.</w:t>
      </w:r>
    </w:p>
    <w:p>
      <w:pPr>
        <w:spacing w:after="0" w:line="188" w:lineRule="exact"/>
        <w:rPr>
          <w:sz w:val="20"/>
          <w:szCs w:val="20"/>
          <w:color w:val="auto"/>
        </w:rPr>
      </w:pPr>
    </w:p>
    <w:p>
      <w:pPr>
        <w:ind w:left="80" w:right="80" w:firstLine="891"/>
        <w:spacing w:after="0" w:line="258" w:lineRule="auto"/>
        <w:rPr>
          <w:sz w:val="20"/>
          <w:szCs w:val="20"/>
          <w:color w:val="auto"/>
        </w:rPr>
      </w:pPr>
      <w:r>
        <w:rPr>
          <w:rFonts w:ascii="Times New Roman" w:cs="Times New Roman" w:eastAsia="Times New Roman" w:hAnsi="Times New Roman"/>
          <w:sz w:val="18"/>
          <w:szCs w:val="18"/>
          <w:color w:val="auto"/>
        </w:rPr>
        <w:t>The ESPP permits employees to purchase the Company's common stock through payroll deductions during six month offerings. The offering periods begin each January 1 and July 1, or such other period determined by the compensation committee. Eligible employees will purchase the shares at a price per share equal to the lesser of (i) 85% of the fair market value of a share of the Company's common stock on the first business day of such offering period and (ii) 85% of the fair market value of share of the Company's common stock on the last business day of such offering period, although the compensation committee has discretion to change the purchase price with respect to future offering periods, subject to terms of the ESPP.</w:t>
      </w:r>
    </w:p>
    <w:p>
      <w:pPr>
        <w:spacing w:after="0" w:line="2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29" w:lineRule="exact"/>
        <w:rPr>
          <w:sz w:val="20"/>
          <w:szCs w:val="20"/>
          <w:color w:val="auto"/>
        </w:rPr>
      </w:pPr>
    </w:p>
    <w:p>
      <w:pPr>
        <w:ind w:left="80" w:right="560" w:firstLine="891"/>
        <w:spacing w:after="0" w:line="282" w:lineRule="auto"/>
        <w:rPr>
          <w:sz w:val="20"/>
          <w:szCs w:val="20"/>
          <w:color w:val="auto"/>
        </w:rPr>
      </w:pPr>
      <w:r>
        <w:rPr>
          <w:rFonts w:ascii="Times New Roman" w:cs="Times New Roman" w:eastAsia="Times New Roman" w:hAnsi="Times New Roman"/>
          <w:sz w:val="18"/>
          <w:szCs w:val="18"/>
          <w:color w:val="auto"/>
        </w:rPr>
        <w:t>The Company leases its facilities and a portion of its equipment and licenses under various non-cancellable agreements, which expire at various times through July 2028 and require various minimum annual rentals.</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 (Continued)</w:t>
      </w:r>
    </w:p>
    <w:p>
      <w:pPr>
        <w:spacing w:after="0" w:line="200" w:lineRule="exact"/>
        <w:rPr>
          <w:sz w:val="20"/>
          <w:szCs w:val="20"/>
          <w:color w:val="auto"/>
        </w:rPr>
      </w:pPr>
    </w:p>
    <w:p>
      <w:pPr>
        <w:spacing w:after="0" w:line="313" w:lineRule="exact"/>
        <w:rPr>
          <w:sz w:val="20"/>
          <w:szCs w:val="20"/>
          <w:color w:val="auto"/>
        </w:rPr>
      </w:pPr>
    </w:p>
    <w:p>
      <w:pPr>
        <w:ind w:right="580" w:firstLine="891"/>
        <w:spacing w:after="0" w:line="282" w:lineRule="auto"/>
        <w:rPr>
          <w:sz w:val="20"/>
          <w:szCs w:val="20"/>
          <w:color w:val="auto"/>
        </w:rPr>
      </w:pPr>
      <w:r>
        <w:rPr>
          <w:rFonts w:ascii="Times New Roman" w:cs="Times New Roman" w:eastAsia="Times New Roman" w:hAnsi="Times New Roman"/>
          <w:sz w:val="18"/>
          <w:szCs w:val="18"/>
          <w:color w:val="auto"/>
        </w:rPr>
        <w:t>The Company’s agreements for the facilities and certain services provide the Company with the option to renew. The Company’s future contractual obligations would change if the Company exercised these options.</w:t>
      </w:r>
    </w:p>
    <w:p>
      <w:pPr>
        <w:spacing w:after="0" w:line="162" w:lineRule="exact"/>
        <w:rPr>
          <w:sz w:val="20"/>
          <w:szCs w:val="20"/>
          <w:color w:val="auto"/>
        </w:rPr>
      </w:pPr>
    </w:p>
    <w:p>
      <w:pPr>
        <w:ind w:right="200" w:firstLine="891"/>
        <w:spacing w:after="0" w:line="282" w:lineRule="auto"/>
        <w:rPr>
          <w:sz w:val="20"/>
          <w:szCs w:val="20"/>
          <w:color w:val="auto"/>
        </w:rPr>
      </w:pPr>
      <w:r>
        <w:rPr>
          <w:rFonts w:ascii="Times New Roman" w:cs="Times New Roman" w:eastAsia="Times New Roman" w:hAnsi="Times New Roman"/>
          <w:sz w:val="18"/>
          <w:szCs w:val="18"/>
          <w:color w:val="auto"/>
        </w:rPr>
        <w:t>The terms of the lease agreements provide for rental payments on a graduated basis. The Company recognizes rent expense on a straight-line basis over the lease period and has accrued for rent expense incurred but not paid.</w:t>
      </w:r>
    </w:p>
    <w:p>
      <w:pPr>
        <w:spacing w:after="0" w:line="162" w:lineRule="exact"/>
        <w:rPr>
          <w:sz w:val="20"/>
          <w:szCs w:val="20"/>
          <w:color w:val="auto"/>
        </w:rPr>
      </w:pPr>
    </w:p>
    <w:p>
      <w:pPr>
        <w:ind w:right="520" w:firstLine="891"/>
        <w:spacing w:after="0" w:line="282" w:lineRule="auto"/>
        <w:rPr>
          <w:sz w:val="20"/>
          <w:szCs w:val="20"/>
          <w:color w:val="auto"/>
        </w:rPr>
      </w:pPr>
      <w:r>
        <w:rPr>
          <w:rFonts w:ascii="Times New Roman" w:cs="Times New Roman" w:eastAsia="Times New Roman" w:hAnsi="Times New Roman"/>
          <w:sz w:val="18"/>
          <w:szCs w:val="18"/>
          <w:color w:val="auto"/>
        </w:rPr>
        <w:t>Total lease expense amounted to $2.1 million and $2.7 million for the three months ended July 31, 2019 and 2020, respectively and $3.9 million and $5.4 million for the six months ended July 31, 2019 and 2020,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right="120" w:firstLine="891"/>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To date, the Company has not incurred any material costs as a result of such obligations and has not accrued any material liabilities related to such obligations in the accompanying unaudited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Related-Party Transactions</w:t>
      </w:r>
    </w:p>
    <w:p>
      <w:pPr>
        <w:spacing w:after="0" w:line="162"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The Company’s main vendor is also an equity holder in the Company. Total payments related to the agreement with the related party are disclosed in Note 8. The Company also purchases services from this related party to assist in managing its own sales cycle, customer relationship management, and other business functions. The Company signed a three-year, non-cancellable agreement with the related party in December 2015 for the purchase of services and renewed in December 2018 for an additional two years. Total payments to the related party for these services recorded to expenses were $0.3 million and $0.3 million for the three months ended July 31, 2019 and 2020, respectively, and $0.5 million and $0.6 million for the six months ended July 31, 2019 and 2020, respectively and $1.1 million and $0.5 million were in prepaid expenses and other current assets as of January 31, 2020 and July 31, 2020, respectively. Accounts payable to the related party were $3.3 million and $4.0 million at January 31, 2020 and July 31, 2020, respectively, included in accounts payable, related parties.</w:t>
      </w:r>
    </w:p>
    <w:p>
      <w:pPr>
        <w:spacing w:after="0" w:line="192"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In the quarter ended July 31, 2020 certain equity holders no longer qualified as a related party of the Company and the amounts disclosed related to them are presented through April 30, 2020 only. Included in revenues from three equity holders, who are also customers of the Company, are $2.1 million and $0.0 million for the three months ended July 31, 2019 and 2020, respectively, and $4.3 million and $2.8 million for the six months ended July 31, 2019 and 2020, respectively. Deferred revenue, current portion, related parties was $8.0 million and $0.0 million as of January 31, 2020 and July 31, 2020, respectively. Accounts receivable, related parties was $9.2 million and $0.0 million as of January 31, 2020 and July 31, 2020, respectively.</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has a banking relationship with one of its equity holders who was formerly considered a related party. In the quarter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2020, the equity holder no longer qualifies as a related party of the Company and the amounts disclosed related to such equity holder are presented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related party through April 30, 2020, only. Included in interest income is $0.2 million and $0.0 million for the three months ended July 31, 2019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respectively, and $0.4 million and $0.1 million for the six months ended July 31, 2019 and 2020, respectively.</w:t>
      </w:r>
    </w:p>
    <w:p>
      <w:pPr>
        <w:spacing w:after="0" w:line="207"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color w:val="auto"/>
        </w:rPr>
        <w:t>The Company made an agreement with one of its equity holders in May 2016 to spend an agreed-upon amount of funds over a three-year period to further the alliance between the two companies. In July 2019, the agreement was extended for an additional three years. As of July 31, 2020, the Company was in compliance with the terms of the agreement. In the quarter ended July 31, 2020, the equity holder no longer qualifies as a related party of the Company and the amounts disclosed related to such equity holder are presented as a related party through April 30, 2020, only. There were no amounts spent for the three months ended July 31, 2019 and 2020 and $0.02 million and $0.0 million for the six months ended July 31, 2019 and 2020, respectively. As of July 31, 2020, there was a $0.2 million obligation remaining which is expected to be fulfilled within one year.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Basic and Diluted Loss per Share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20" w:firstLine="891"/>
        <w:spacing w:after="0" w:line="258"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options. The dilutive effect of outstanding awards is reflected in diluted earnings per share by application of the treasury stock method. Diluted loss per share for the three months ended July 31, 2019 and 2020 and for the six months ended July 31, 2019 and 2020 is the same as the basic loss per share as there was a net loss for those periods, and inclusion of potentially issuable shares was anti-dilutive.</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basic and diluted loss per share for periods presented are as follows (in thousands, except share and per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r>
      <w:tr>
        <w:trPr>
          <w:trHeight w:val="195"/>
        </w:trPr>
        <w:tc>
          <w:tcPr>
            <w:tcW w:w="5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00" w:type="dxa"/>
            <w:vAlign w:val="bottom"/>
            <w:tcBorders>
              <w:bottom w:val="single" w:sz="8" w:color="auto"/>
            </w:tcBorders>
          </w:tcPr>
          <w:p>
            <w:pPr>
              <w:spacing w:after="0"/>
              <w:rPr>
                <w:sz w:val="16"/>
                <w:szCs w:val="16"/>
                <w:color w:val="auto"/>
              </w:rPr>
            </w:pPr>
          </w:p>
        </w:tc>
      </w:tr>
      <w:tr>
        <w:trPr>
          <w:trHeight w:val="196"/>
        </w:trPr>
        <w:tc>
          <w:tcPr>
            <w:tcW w:w="5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5"/>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loss per share: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(19,415)</w:t>
            </w:r>
          </w:p>
        </w:tc>
      </w:tr>
      <w:tr>
        <w:trPr>
          <w:trHeight w:val="243"/>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76,420,098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84,629,777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76,206,900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83,112,132</w:t>
            </w:r>
          </w:p>
        </w:tc>
      </w:tr>
      <w:tr>
        <w:trPr>
          <w:trHeight w:val="243"/>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loss per share attributable to nCino, Inc.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loss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(19,415)</w:t>
            </w:r>
          </w:p>
        </w:tc>
      </w:tr>
      <w:tr>
        <w:trPr>
          <w:trHeight w:val="243"/>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76,420,098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84,629,777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76,206,900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83,112,132</w:t>
            </w:r>
          </w:p>
        </w:tc>
      </w:tr>
      <w:tr>
        <w:trPr>
          <w:trHeight w:val="243"/>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loss per share attributable to nCino, Inc.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bl>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weighted-average number of shares outstanding used in the computation of diluted loss per share does not include the effect of the following potential outstanding common stock because the effect would have been anti-dilutive: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288"/>
              <w:spacing w:after="0"/>
              <w:rPr>
                <w:sz w:val="20"/>
                <w:szCs w:val="20"/>
                <w:color w:val="auto"/>
              </w:rPr>
            </w:pPr>
            <w:r>
              <w:rPr>
                <w:rFonts w:ascii="Times New Roman" w:cs="Times New Roman" w:eastAsia="Times New Roman" w:hAnsi="Times New Roman"/>
                <w:sz w:val="14"/>
                <w:szCs w:val="14"/>
                <w:b w:val="1"/>
                <w:bCs w:val="1"/>
                <w:color w:val="auto"/>
                <w:w w:val="98"/>
              </w:rPr>
              <w:t>July 31,</w:t>
            </w:r>
          </w:p>
        </w:tc>
      </w:tr>
      <w:tr>
        <w:trPr>
          <w:trHeight w:val="196"/>
        </w:trPr>
        <w:tc>
          <w:tcPr>
            <w:tcW w:w="424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5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8,008,329</w:t>
            </w:r>
          </w:p>
        </w:tc>
        <w:tc>
          <w:tcPr>
            <w:tcW w:w="184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7,464,094</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RSUs issued and outstanding</w:t>
            </w:r>
          </w:p>
        </w:tc>
        <w:tc>
          <w:tcPr>
            <w:tcW w:w="3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2,041,093</w:t>
            </w:r>
          </w:p>
        </w:tc>
      </w:tr>
      <w:tr>
        <w:trPr>
          <w:trHeight w:val="837"/>
        </w:trPr>
        <w:tc>
          <w:tcPr>
            <w:tcW w:w="4240" w:type="dxa"/>
            <w:vAlign w:val="bottom"/>
          </w:tcPr>
          <w:p>
            <w:pPr>
              <w:spacing w:after="0"/>
              <w:rPr>
                <w:sz w:val="24"/>
                <w:szCs w:val="24"/>
                <w:color w:val="auto"/>
              </w:rPr>
            </w:pPr>
          </w:p>
        </w:tc>
        <w:tc>
          <w:tcPr>
            <w:tcW w:w="380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19</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40" w:firstLine="891"/>
        <w:spacing w:after="0" w:line="272" w:lineRule="auto"/>
        <w:rPr>
          <w:sz w:val="20"/>
          <w:szCs w:val="20"/>
          <w:color w:val="auto"/>
        </w:rPr>
      </w:pPr>
      <w:r>
        <w:rPr>
          <w:rFonts w:ascii="Times New Roman" w:cs="Times New Roman" w:eastAsia="Times New Roman" w:hAnsi="Times New Roman"/>
          <w:sz w:val="17"/>
          <w:szCs w:val="17"/>
          <w:i w:val="1"/>
          <w:iCs w:val="1"/>
          <w:color w:val="auto"/>
        </w:rPr>
        <w:t>The following discussion of our financial condition and results of operations should be read together with our unaudited condensed consolidated financial statements and related notes and other financial information included in this Quarterly Report on Form 10-Q and our final prospectus related to our IPO, dated July 13, 2020, filed with the SEC, pursuant to Rule 424(b)(4).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particularly in the section titled “Risk Factors.” Our historical results are not necessarily indicative of the results that may be expected for any period in the future. Our fiscal year ends on January 31 of each year and references in this Quarterly Report on Form 10-Q to a fiscal year mean the year in which that fiscal year ends. For example, references in this Quarterly Report on Form 10-Q to "fiscal 20" refer to the fiscal year ended January 31, 2020.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891"/>
        <w:spacing w:after="0" w:line="272" w:lineRule="auto"/>
        <w:rPr>
          <w:sz w:val="20"/>
          <w:szCs w:val="20"/>
          <w:color w:val="auto"/>
        </w:rPr>
      </w:pPr>
      <w:r>
        <w:rPr>
          <w:rFonts w:ascii="Times New Roman" w:cs="Times New Roman" w:eastAsia="Times New Roman" w:hAnsi="Times New Roman"/>
          <w:sz w:val="17"/>
          <w:szCs w:val="17"/>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artificial intelligence and machine learning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72" w:lineRule="exact"/>
        <w:rPr>
          <w:sz w:val="20"/>
          <w:szCs w:val="20"/>
          <w:color w:val="auto"/>
        </w:rPr>
      </w:pPr>
    </w:p>
    <w:p>
      <w:pPr>
        <w:ind w:right="60" w:firstLine="891"/>
        <w:spacing w:after="0" w:line="282" w:lineRule="auto"/>
        <w:rPr>
          <w:sz w:val="20"/>
          <w:szCs w:val="20"/>
          <w:color w:val="auto"/>
        </w:rPr>
      </w:pPr>
      <w:r>
        <w:rPr>
          <w:rFonts w:ascii="Times New Roman" w:cs="Times New Roman" w:eastAsia="Times New Roman" w:hAnsi="Times New Roman"/>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62"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digitally serve their clients across commercial, small business and retail lines of business,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financial results,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more efficiently,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 and compliance more effectively,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data, audit and business intelligence hub.</w:t>
      </w:r>
    </w:p>
    <w:p>
      <w:pPr>
        <w:spacing w:after="0" w:line="225" w:lineRule="exact"/>
        <w:rPr>
          <w:sz w:val="20"/>
          <w:szCs w:val="20"/>
          <w:color w:val="auto"/>
        </w:rPr>
      </w:pPr>
    </w:p>
    <w:p>
      <w:pPr>
        <w:ind w:right="80" w:firstLine="891"/>
        <w:spacing w:after="0" w:line="254" w:lineRule="auto"/>
        <w:rPr>
          <w:sz w:val="20"/>
          <w:szCs w:val="20"/>
          <w:color w:val="auto"/>
        </w:rPr>
      </w:pPr>
      <w:r>
        <w:rPr>
          <w:rFonts w:ascii="Times New Roman" w:cs="Times New Roman" w:eastAsia="Times New Roman" w:hAnsi="Times New Roman"/>
          <w:sz w:val="18"/>
          <w:szCs w:val="18"/>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 internationally in 2017, and have subsequently expanded across North America, Europe and APAC. In fiscal 2020, we acquired Visible Equity and FinSuite and combined the acquired technology with certain of our internally-developed technology to launch nCino IQ ("nIQ"). nIQ helps our customers improve operational and financial performance by using AI/ML to increase efficiency through automation and analytics to gain greater insights into their operations and client interactions.</w:t>
      </w:r>
    </w:p>
    <w:p>
      <w:pPr>
        <w:spacing w:after="0" w:line="192" w:lineRule="exact"/>
        <w:rPr>
          <w:sz w:val="20"/>
          <w:szCs w:val="20"/>
          <w:color w:val="auto"/>
        </w:rPr>
      </w:pPr>
    </w:p>
    <w:p>
      <w:pPr>
        <w:ind w:firstLine="891"/>
        <w:spacing w:after="0" w:line="277" w:lineRule="auto"/>
        <w:rPr>
          <w:sz w:val="20"/>
          <w:szCs w:val="20"/>
          <w:color w:val="auto"/>
        </w:rPr>
      </w:pPr>
      <w:r>
        <w:rPr>
          <w:rFonts w:ascii="Times New Roman" w:cs="Times New Roman" w:eastAsia="Times New Roman" w:hAnsi="Times New Roman"/>
          <w:sz w:val="17"/>
          <w:szCs w:val="17"/>
          <w:color w:val="auto"/>
        </w:rPr>
        <w:t>We offer our solution on a SaaS basis under multi-year contracts and recognize subscription revenues ratably over the term of the contract. Our customers may initially purchase our solution for client onboarding, loan origination and/or deposit account opening for a single line of business or geography. Once this initial solution is in production, we seek to deploy additional applications and expand within and across additional lines of business or geographies. The expansion from our original focus on commercial and small business loan origination to retail loan origination, client onboarding, deposit account opening and, most recently, analytics and AI/ML applications, has enhanced our ability to increase adoption of our solution by our customers.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We sell our solution directly through our business development managers, account executives, field sales engineers and customer success managers. Our sales efforts in the United States are organized around financial institutions based on size, whereas internationally we focus our sales efforts by geography. To drive growth and serve customers in the EMEA region, we continue to expand headcount in our UK office. In fiscal 2020, we opened an office in Tokyo through our joint venture, nCino K.K., giving us another base of operations in APAC in addition to our Australian offices. As of July 31, 2020, we had 140 sales and sales support personnel in the United States, and 53 sales and support personnel in offices outside the United States.</w:t>
      </w:r>
    </w:p>
    <w:p>
      <w:pPr>
        <w:spacing w:after="0" w:line="183"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To help customers go live with our solution and achieve success, we offer professional services including configuration and implementation, training and advisory services. For larger financial institutions, we generally work with systems integrators ("SIs") such as Accenture, Deloitte, PwC and West Monroe Partners for the delivery of professional services, while we have historically performed professional services for smaller financial institutions ourselves. We expect larger financial institutions to make up a greater proportion of our sales and to increasingly outsource professional services for smaller banks and credit unions to SIs in the future. As a result, we expect the mix of our total revenues to become more heavily weighted toward subscription revenues.</w:t>
      </w:r>
    </w:p>
    <w:p>
      <w:pPr>
        <w:spacing w:after="0" w:line="187" w:lineRule="exact"/>
        <w:rPr>
          <w:sz w:val="20"/>
          <w:szCs w:val="20"/>
          <w:color w:val="auto"/>
        </w:rPr>
      </w:pPr>
    </w:p>
    <w:p>
      <w:pPr>
        <w:ind w:right="200" w:firstLine="891"/>
        <w:spacing w:after="0" w:line="277" w:lineRule="auto"/>
        <w:rPr>
          <w:sz w:val="20"/>
          <w:szCs w:val="20"/>
          <w:color w:val="auto"/>
        </w:rPr>
      </w:pPr>
      <w:r>
        <w:rPr>
          <w:rFonts w:ascii="Times New Roman" w:cs="Times New Roman" w:eastAsia="Times New Roman" w:hAnsi="Times New Roman"/>
          <w:sz w:val="17"/>
          <w:szCs w:val="17"/>
          <w:color w:val="auto"/>
        </w:rPr>
        <w:t>To support our growth and capitalize on what we believe is a compelling market opportunity, we have significantly increased our operating expenses across all aspects of our business. In research and development, we have focused on product improvements and the development of new functionality, while simultaneously leveraging the Salesforce Platform such that our development is heavily focused on vertical-specific solutions for financial institutions. Similarly, to grow our customer base, we have invested heavily in sales and marketing both in the United States and internationally. We have also increased our general and administrative spending to support our growing operations and for operating as a new public company.</w:t>
      </w:r>
    </w:p>
    <w:p>
      <w:pPr>
        <w:spacing w:after="0" w:line="168"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color w:val="auto"/>
        </w:rPr>
        <w:t>For the three months ended July 31, 2020 and 2019, our total revenues were $48.8 million and $32.0 million, respectively, representing a 52.5% increase, and our subscription revenues were $39.4 million and $23.1 million, respectively, representing a 70.3% increase. We had net losses attributable to nCino of $14.6 million and $8.5 million for the three months ended July 31, 2020 and 2019, respectively. For the six months ended July 31, 2020 and 2019, our total revenues were $93.5 million and $61.8 million, respectively, representing a 51.2% increase, and our subscription revenues were $74.2 million and $44.1 million, respectively, representing a 68.1% increase. We had net losses attributable to nCino of $19.4 million and $11.9 million for the six months ended July 31, 2020 and 2019,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225" w:lineRule="exact"/>
        <w:rPr>
          <w:sz w:val="20"/>
          <w:szCs w:val="20"/>
          <w:color w:val="auto"/>
        </w:rPr>
      </w:pPr>
    </w:p>
    <w:p>
      <w:pPr>
        <w:ind w:right="180" w:firstLine="8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Initial Public Offering. </w:t>
      </w:r>
      <w:r>
        <w:rPr>
          <w:rFonts w:ascii="Times New Roman" w:cs="Times New Roman" w:eastAsia="Times New Roman" w:hAnsi="Times New Roman"/>
          <w:sz w:val="18"/>
          <w:szCs w:val="18"/>
          <w:color w:val="auto"/>
        </w:rPr>
        <w:t>On July 13, 2020, our Registration Statement on Form S-1 relating to the IPO of our common stock was declared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by the SEC. In connection with the IPO, we issued and sold 9,269,000 shares of common stock (including shares issued pursuant to the exercise in full of the underwriters' option to purchase additional shares) at a public offering price of $31.00 per share for net proceeds of $268.4 million, after deducting underwriters' discounts and commissions (excluding other IPO costs as of July 31,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Operating Results</w:t>
      </w:r>
    </w:p>
    <w:p>
      <w:pPr>
        <w:spacing w:after="0" w:line="225" w:lineRule="exact"/>
        <w:rPr>
          <w:sz w:val="20"/>
          <w:szCs w:val="20"/>
          <w:color w:val="auto"/>
        </w:rPr>
      </w:pPr>
    </w:p>
    <w:p>
      <w:pPr>
        <w:ind w:right="40" w:firstLine="891"/>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Market Adoption of Our Solution</w:t>
      </w:r>
      <w:r>
        <w:rPr>
          <w:rFonts w:ascii="Times New Roman" w:cs="Times New Roman" w:eastAsia="Times New Roman" w:hAnsi="Times New Roman"/>
          <w:sz w:val="17"/>
          <w:szCs w:val="17"/>
          <w:color w:val="auto"/>
        </w:rPr>
        <w:t>. Our future growth depends on our ability to expand our reach to new financial institution customers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 adoption with existing customers as they broaden their use of the nCino Bank Operating System within and across lines of business. Our success in growing our customer base and expanding adoption of our solution by existing customers requires a focused direct sales engagement and the ability to convince key decision makers at financial institutions to replace legacy third-party point solutions or internally developed software with the nCino Bank Operating System. In addition, growing our customer base will require us to increasingly penetrate markets outside the United States, which markets accounted for 9.7% of our total revenues for the three months ended July 31, 2020, and 9.6% for the six months ended July 31, 2020. For new customers, our sales cycles are typically lengthy, generally ranging from six to nine months for smaller financial institutions to 12 to 18 months or more for larger financial institutions. Reaching and converting potential customers requires that we continue to invest in the growth and success of our sales force both in the United States and internationally. In addition,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spacing w:after="0" w:line="173" w:lineRule="exact"/>
        <w:rPr>
          <w:sz w:val="20"/>
          <w:szCs w:val="20"/>
          <w:color w:val="auto"/>
        </w:rPr>
      </w:pPr>
    </w:p>
    <w:p>
      <w:pPr>
        <w:ind w:right="320" w:firstLine="89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Mix of Subscription and Professional Services Revenues. </w:t>
      </w:r>
      <w:r>
        <w:rPr>
          <w:rFonts w:ascii="Times New Roman" w:cs="Times New Roman" w:eastAsia="Times New Roman" w:hAnsi="Times New Roman"/>
          <w:sz w:val="18"/>
          <w:szCs w:val="18"/>
          <w:color w:val="auto"/>
        </w:rPr>
        <w:t>The initial deployment of the nCino Bank Operating System by our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requires a period of implementation and configuration services that can range from as little as three months for community banks to over 18 months for global financial institutions. As a result, during the initial go-live period for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 as our overall business grows.</w:t>
      </w:r>
    </w:p>
    <w:p>
      <w:pPr>
        <w:spacing w:after="0" w:line="176" w:lineRule="exact"/>
        <w:rPr>
          <w:sz w:val="20"/>
          <w:szCs w:val="20"/>
          <w:color w:val="auto"/>
        </w:rPr>
      </w:pPr>
    </w:p>
    <w:p>
      <w:pPr>
        <w:ind w:right="120" w:firstLine="8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COVID-19 Effects on Demand for Our Solution</w:t>
      </w:r>
      <w:r>
        <w:rPr>
          <w:rFonts w:ascii="Times New Roman" w:cs="Times New Roman" w:eastAsia="Times New Roman" w:hAnsi="Times New Roman"/>
          <w:sz w:val="18"/>
          <w:szCs w:val="18"/>
          <w:color w:val="auto"/>
        </w:rPr>
        <w:t>. To help our customers service demand for Paycheck Protection Program (PPP) loans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CARES Act beginning in April 2020, we adapted our Small Business Administration loan solution to the requirements of the PPP and rapidly introduced it to the market. Using our PPP solution, since the inception of PPP funding, our financial institution customers have processed hundreds of thousands of applications and have provided more than $50 billion in funding for their small business clients.</w:t>
      </w:r>
    </w:p>
    <w:p>
      <w:pPr>
        <w:spacing w:after="0" w:line="180"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In light of the extraordinary nature of this market demand, we offered our PPP solution on one- or two-year terms as well as on a multi-year basis co-terminus with existing contracts. Seats for our PPP solution were activated immediately, which caused subscription revenues from these seats to be recognized sooner than is typical with the phased seat activations usually offered to customers. We believe that the emergency purchases of our PPP solution may have had the effect of pulling forward demand that might have otherwise materialized as new business later in the fiscal year and that, coupled with the disruptive effect of COVID-19 on the economy more generally, may have the effect of reducing new business later in fiscal 2021 and moderating revenue growth rates in fiscal 2022. In addition, our subscription revenue retention rates may be adversely affected upon the expiration of access and use rights to our PPP solution to the extent such rights are not re-purposed for other applications.</w:t>
      </w:r>
    </w:p>
    <w:p>
      <w:pPr>
        <w:spacing w:after="0" w:line="185" w:lineRule="exact"/>
        <w:rPr>
          <w:sz w:val="20"/>
          <w:szCs w:val="20"/>
          <w:color w:val="auto"/>
        </w:rPr>
      </w:pPr>
    </w:p>
    <w:p>
      <w:pPr>
        <w:ind w:right="40" w:firstLine="89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Continued Investment in Innovation and Growth</w:t>
      </w:r>
      <w:r>
        <w:rPr>
          <w:rFonts w:ascii="Times New Roman" w:cs="Times New Roman" w:eastAsia="Times New Roman" w:hAnsi="Times New Roman"/>
          <w:sz w:val="18"/>
          <w:szCs w:val="18"/>
          <w:color w:val="auto"/>
        </w:rPr>
        <w:t>. We have made substantial investments in product development, sales and marketing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heavily in sales and marketing both in the United States and internationally to further grow our business, and increase our general and administrative spending to support our growing operations and for operating as a new public company. As such, to capitalize on the market opportunity we see ahead of us, we expect to continue to optimize our operating plans for revenue growth, and as a result continue experiencing operating losses, for the foreseeable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9" w:lineRule="exact"/>
        <w:rPr>
          <w:sz w:val="20"/>
          <w:szCs w:val="20"/>
          <w:color w:val="auto"/>
        </w:rPr>
      </w:pPr>
    </w:p>
    <w:p>
      <w:pPr>
        <w:ind w:right="140" w:firstLine="891"/>
        <w:spacing w:after="0" w:line="258" w:lineRule="auto"/>
        <w:rPr>
          <w:sz w:val="20"/>
          <w:szCs w:val="20"/>
          <w:color w:val="auto"/>
        </w:rPr>
      </w:pPr>
      <w:r>
        <w:rPr>
          <w:rFonts w:ascii="Times New Roman" w:cs="Times New Roman" w:eastAsia="Times New Roman" w:hAnsi="Times New Roman"/>
          <w:sz w:val="18"/>
          <w:szCs w:val="18"/>
          <w:color w:val="auto"/>
        </w:rPr>
        <w:t>In addition to providing financial measurements based on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83" w:lineRule="exact"/>
        <w:rPr>
          <w:sz w:val="20"/>
          <w:szCs w:val="20"/>
          <w:color w:val="auto"/>
        </w:rPr>
      </w:pPr>
    </w:p>
    <w:p>
      <w:pPr>
        <w:ind w:right="120" w:firstLine="891"/>
        <w:spacing w:after="0" w:line="256" w:lineRule="auto"/>
        <w:rPr>
          <w:sz w:val="20"/>
          <w:szCs w:val="20"/>
          <w:color w:val="auto"/>
        </w:rPr>
      </w:pPr>
      <w:r>
        <w:rPr>
          <w:rFonts w:ascii="Times New Roman" w:cs="Times New Roman" w:eastAsia="Times New Roman" w:hAnsi="Times New Roman"/>
          <w:sz w:val="18"/>
          <w:szCs w:val="18"/>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Loss, as discussed below.</w:t>
      </w:r>
    </w:p>
    <w:p>
      <w:pPr>
        <w:spacing w:after="0" w:line="185"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Non-GAAP Operating Loss. </w:t>
      </w:r>
      <w:r>
        <w:rPr>
          <w:rFonts w:ascii="Times New Roman" w:cs="Times New Roman" w:eastAsia="Times New Roman" w:hAnsi="Times New Roman"/>
          <w:sz w:val="18"/>
          <w:szCs w:val="18"/>
          <w:color w:val="auto"/>
        </w:rPr>
        <w:t>Non-GAAP Operating Loss is defined as loss from operations as reported in our unaudited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 excluding the impact of amortization of intangible assets and stock-based compensation expense. Non-GAAP Operating Loss is widely used by securities analysts, investors and other interested parties to evaluate the profitability of companies. Non-GAAP Operating Loss eliminates potential differences in performance caused by variations in the extent to which intangible assets are identifiable (affecting relative amortization expense).</w:t>
      </w:r>
    </w:p>
    <w:p>
      <w:pPr>
        <w:spacing w:after="0" w:line="185"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measures differently, all of which could reduce the usefulness of our non-GAAP financial measures as tools for comparison.</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reconciles Non-GAAP Operating Loss to Loss from Operations, the most directly comparable financial measure, calculated and presented in accordance with GAAP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4"/>
        </w:trPr>
        <w:tc>
          <w:tcPr>
            <w:tcW w:w="5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880" w:type="dxa"/>
            <w:vAlign w:val="bottom"/>
            <w:tcBorders>
              <w:bottom w:val="single" w:sz="8" w:color="auto"/>
            </w:tcBorders>
          </w:tcPr>
          <w:p>
            <w:pPr>
              <w:spacing w:after="0"/>
              <w:rPr>
                <w:sz w:val="16"/>
                <w:szCs w:val="16"/>
                <w:color w:val="auto"/>
              </w:rPr>
            </w:pPr>
          </w:p>
        </w:tc>
      </w:tr>
      <w:tr>
        <w:trPr>
          <w:trHeight w:val="198"/>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Loss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(19,964)</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43"/>
        </w:trPr>
        <w:tc>
          <w:tcPr>
            <w:tcW w:w="5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3,601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14,320</w:t>
            </w:r>
          </w:p>
        </w:tc>
      </w:tr>
      <w:tr>
        <w:trPr>
          <w:trHeight w:val="27"/>
        </w:trPr>
        <w:tc>
          <w:tcPr>
            <w:tcW w:w="5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52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3,778</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15,912</w:t>
            </w:r>
          </w:p>
        </w:tc>
      </w:tr>
      <w:tr>
        <w:trPr>
          <w:trHeight w:val="26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w:t>
            </w:r>
          </w:p>
        </w:tc>
      </w:tr>
      <w:tr>
        <w:trPr>
          <w:trHeight w:val="21"/>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derive our revenues from subscription and professional services fees.</w:t>
      </w:r>
    </w:p>
    <w:p>
      <w:pPr>
        <w:spacing w:after="0" w:line="223" w:lineRule="exact"/>
        <w:rPr>
          <w:sz w:val="20"/>
          <w:szCs w:val="20"/>
          <w:color w:val="auto"/>
        </w:rPr>
      </w:pPr>
    </w:p>
    <w:p>
      <w:pPr>
        <w:ind w:right="60" w:firstLine="891"/>
        <w:spacing w:after="0" w:line="267" w:lineRule="auto"/>
        <w:rPr>
          <w:sz w:val="20"/>
          <w:szCs w:val="20"/>
          <w:color w:val="auto"/>
        </w:rPr>
      </w:pPr>
      <w:r>
        <w:rPr>
          <w:rFonts w:ascii="Times New Roman" w:cs="Times New Roman" w:eastAsia="Times New Roman" w:hAnsi="Times New Roman"/>
          <w:sz w:val="18"/>
          <w:szCs w:val="18"/>
          <w:i w:val="1"/>
          <w:iCs w:val="1"/>
          <w:color w:val="auto"/>
        </w:rPr>
        <w:t>Subscription Revenues</w:t>
      </w:r>
      <w:r>
        <w:rPr>
          <w:rFonts w:ascii="Times New Roman" w:cs="Times New Roman" w:eastAsia="Times New Roman" w:hAnsi="Times New Roman"/>
          <w:sz w:val="18"/>
          <w:szCs w:val="18"/>
          <w:color w:val="auto"/>
        </w:rPr>
        <w:t>. Our subscription revenues consist principally of fees from customers for accessing the nCino Bank Operating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maintenance and support services that we offer under non-cancellable multi-year contracts, which typically range from three to five years. Specifically, we offer:</w:t>
      </w:r>
    </w:p>
    <w:p>
      <w:pPr>
        <w:spacing w:after="0" w:line="175" w:lineRule="exact"/>
        <w:rPr>
          <w:sz w:val="20"/>
          <w:szCs w:val="20"/>
          <w:color w:val="auto"/>
        </w:rPr>
      </w:pPr>
    </w:p>
    <w:p>
      <w:pPr>
        <w:ind w:left="1300" w:right="520" w:hanging="320"/>
        <w:spacing w:after="0" w:line="282"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onboarding, loan origination and deposit account opening applications targeted at a financial institution’s commercial, small business and retail lines of business, for which we generally charge on a per seat basis.</w:t>
      </w:r>
    </w:p>
    <w:p>
      <w:pPr>
        <w:spacing w:after="0" w:line="161" w:lineRule="exact"/>
        <w:rPr>
          <w:rFonts w:ascii="Times New Roman" w:cs="Times New Roman" w:eastAsia="Times New Roman" w:hAnsi="Times New Roman"/>
          <w:sz w:val="18"/>
          <w:szCs w:val="18"/>
          <w:color w:val="auto"/>
        </w:rPr>
      </w:pPr>
    </w:p>
    <w:p>
      <w:pPr>
        <w:ind w:left="1300" w:right="20" w:hanging="320"/>
        <w:spacing w:after="0" w:line="261"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nIQ, first introduced in fiscal 2020, for which we generally charge based on the asset size of the customer or on a usage basis. Prior to our acquisitions of Visible Equity and FinSuite, they generally licensed their products under annual contracts that could be cancelled on 30-days’ notice. We will continue to support these customers under their legacy contracts until such contracts are renewed, cancelled or expire.</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2"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support services as well as internal-use or “sandbox” development licenses, for which we charge as a percentage of the related subscription fees.</w:t>
      </w:r>
    </w:p>
    <w:p>
      <w:pPr>
        <w:spacing w:after="0" w:line="162" w:lineRule="exact"/>
        <w:rPr>
          <w:sz w:val="20"/>
          <w:szCs w:val="20"/>
          <w:color w:val="auto"/>
        </w:rPr>
      </w:pPr>
    </w:p>
    <w:p>
      <w:pPr>
        <w:ind w:right="100" w:firstLine="891"/>
        <w:spacing w:after="0" w:line="254" w:lineRule="auto"/>
        <w:rPr>
          <w:sz w:val="20"/>
          <w:szCs w:val="20"/>
          <w:color w:val="auto"/>
        </w:rPr>
      </w:pPr>
      <w:r>
        <w:rPr>
          <w:rFonts w:ascii="Times New Roman" w:cs="Times New Roman" w:eastAsia="Times New Roman" w:hAnsi="Times New Roman"/>
          <w:sz w:val="18"/>
          <w:szCs w:val="18"/>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Subscription fees are generally charged annually in advance. Where seats are activated in stages, we charge subscription fees from the date of activation through the anniversary of the initial activation date, and annually thereafter.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spacing w:after="0" w:line="190" w:lineRule="exact"/>
        <w:rPr>
          <w:sz w:val="20"/>
          <w:szCs w:val="20"/>
          <w:color w:val="auto"/>
        </w:rPr>
      </w:pPr>
    </w:p>
    <w:p>
      <w:pPr>
        <w:ind w:right="160" w:firstLine="891"/>
        <w:spacing w:after="0" w:line="256" w:lineRule="auto"/>
        <w:rPr>
          <w:sz w:val="20"/>
          <w:szCs w:val="20"/>
          <w:color w:val="auto"/>
        </w:rPr>
      </w:pPr>
      <w:r>
        <w:rPr>
          <w:rFonts w:ascii="Times New Roman" w:cs="Times New Roman" w:eastAsia="Times New Roman" w:hAnsi="Times New Roman"/>
          <w:sz w:val="18"/>
          <w:szCs w:val="18"/>
          <w:i w:val="1"/>
          <w:iCs w:val="1"/>
          <w:color w:val="auto"/>
        </w:rPr>
        <w:t>Professional Services Revenues</w:t>
      </w:r>
      <w:r>
        <w:rPr>
          <w:rFonts w:ascii="Times New Roman" w:cs="Times New Roman" w:eastAsia="Times New Roman" w:hAnsi="Times New Roman"/>
          <w:sz w:val="18"/>
          <w:szCs w:val="18"/>
          <w:color w:val="auto"/>
        </w:rPr>
        <w:t>. Professional services revenues consist of fees for implementation and configuration assistance, training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services. For enterprise and larger regional financial institutions, we generally work with SIs to provide the majority of implementation services, for which these SIs bill our customers directly. We have historically delivered professional services ourselves for community banks and smaller credit unions. Revenues for implementation, training and advisory services are recognized on a proportional performance basis, based on labor hours incurred relative to total budgeted hours. To date, our losses on professional services contracts have not been material. During the initial go-live period for a customer, professional services revenues make up a substantial portion of our revenues from that customer, whereas over time, revenues from established customers are more heavily weighted to subscriptions. While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27" w:lineRule="exact"/>
        <w:rPr>
          <w:sz w:val="20"/>
          <w:szCs w:val="20"/>
          <w:color w:val="auto"/>
        </w:rPr>
      </w:pPr>
    </w:p>
    <w:p>
      <w:pPr>
        <w:ind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Cost of Subscription Revenues</w:t>
      </w:r>
      <w:r>
        <w:rPr>
          <w:rFonts w:ascii="Times New Roman" w:cs="Times New Roman" w:eastAsia="Times New Roman" w:hAnsi="Times New Roman"/>
          <w:sz w:val="18"/>
          <w:szCs w:val="18"/>
          <w:color w:val="auto"/>
        </w:rPr>
        <w:t>. Cost of subscription revenues primarily consists of fees paid to Salesforce for access to the Salesforce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Salesforce’s hosting infrastructure and data center operations. When we resell access to Salesforce’s CRM solution, cost of subscription revenues also includes the subscription fees we remit to Salesforce for providing such access.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82" w:lineRule="exact"/>
        <w:rPr>
          <w:sz w:val="20"/>
          <w:szCs w:val="20"/>
          <w:color w:val="auto"/>
        </w:rPr>
      </w:pPr>
    </w:p>
    <w:p>
      <w:pPr>
        <w:ind w:right="40"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Cost of Professional Services Revenues</w:t>
      </w:r>
      <w:r>
        <w:rPr>
          <w:rFonts w:ascii="Times New Roman" w:cs="Times New Roman" w:eastAsia="Times New Roman" w:hAnsi="Times New Roman"/>
          <w:sz w:val="18"/>
          <w:szCs w:val="18"/>
          <w:color w:val="auto"/>
        </w:rPr>
        <w:t>. Cost of professional services revenues consists primarily of personnel-related costs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gross margin on a period-to-period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personnel costs of our sales and marketing employees,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salaries, sales commissions and incentives, benefits and stock-based compensation expense, travel and related costs. Beginning with fiscal 2020 and the adoption of Accounting Standards Update (ASU) No. 2014-09, we capitalize incremental costs incurred to obtain contracts, primarily consisting of sales commissions, and subsequently amortize these costs over the expected period of benefit, which we have determined to be approximately 4 years. Sales and marketing expenses also include outside consulting fees, marketing programs, including lead generation, costs of our annual user conference, advertising, trade shows, other event expenses, amortization of acquired customer relationships, and allocated overhead. We expect sales and marketing expenses will continue to increase as we expand our direct sales teams in the United States and internationally to address our market opportunity.</w:t>
      </w:r>
    </w:p>
    <w:p>
      <w:pPr>
        <w:spacing w:after="0" w:line="183" w:lineRule="exact"/>
        <w:rPr>
          <w:sz w:val="20"/>
          <w:szCs w:val="20"/>
          <w:color w:val="auto"/>
        </w:rPr>
      </w:pPr>
    </w:p>
    <w:p>
      <w:pPr>
        <w:ind w:right="160" w:firstLine="8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salaries, benefits and stock-based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to continue to increase as we develop new functionality and make improvements to the nCino Bank Operating System.</w:t>
      </w:r>
    </w:p>
    <w:p>
      <w:pPr>
        <w:spacing w:after="0" w:line="176" w:lineRule="exact"/>
        <w:rPr>
          <w:sz w:val="20"/>
          <w:szCs w:val="20"/>
          <w:color w:val="auto"/>
        </w:rPr>
      </w:pPr>
    </w:p>
    <w:p>
      <w:pPr>
        <w:ind w:firstLine="8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salaries, benefits and stock-based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We expect that general and administrative expenses will continue to increase as we scale our business and as we incur costs associated with being a new publicly-traded company, including legal, audit and consulting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40" w:firstLine="891"/>
        <w:spacing w:after="0" w:line="256" w:lineRule="auto"/>
        <w:rPr>
          <w:sz w:val="20"/>
          <w:szCs w:val="20"/>
          <w:color w:val="auto"/>
        </w:rPr>
      </w:pPr>
      <w:r>
        <w:rPr>
          <w:rFonts w:ascii="Times New Roman" w:cs="Times New Roman" w:eastAsia="Times New Roman" w:hAnsi="Times New Roman"/>
          <w:sz w:val="18"/>
          <w:szCs w:val="18"/>
          <w:color w:val="auto"/>
        </w:rPr>
        <w:t>We have historically recorded stock-based compensation associated with stock options in cost of revenues and operating expenses as the related options vest. Beginning in the three and six months ended July 31, 2020, we have recorded stock-based compensation expenses associated with RSUs as cost of revenues and operating expenses as the liquidity-based vesting condition was satisfied upon the IPO. On the effective date of the IPO, we recognized an expense of $12.2 million for RSUs, representing the stock-based compensation associated with RSUs for which the time-based vesting condition had already been met. Going forward, stock-based compensation for both stock options and RSUs will be recognized as the time-based vesting conditions under such awards are met.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financial statements and notes included elsewhere in this Quarterly Report on Form 10-Q. The following tables present our selected consolidated statement of operations data for three and six months ended July 31, 2019 and 2020 in both dollars and as a percentage of total revenues, except as noted.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200" w:type="dxa"/>
            <w:vAlign w:val="bottom"/>
            <w:gridSpan w:val="7"/>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4"/>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and per share amounts)</w:t>
            </w: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 revenues</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23,110</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39,351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4"/>
          </w:tcPr>
          <w:p>
            <w:pPr>
              <w:jc w:val="right"/>
              <w:ind w:right="15"/>
              <w:spacing w:after="0"/>
              <w:rPr>
                <w:sz w:val="20"/>
                <w:szCs w:val="20"/>
                <w:color w:val="auto"/>
              </w:rPr>
            </w:pPr>
            <w:r>
              <w:rPr>
                <w:rFonts w:ascii="Times New Roman" w:cs="Times New Roman" w:eastAsia="Times New Roman" w:hAnsi="Times New Roman"/>
                <w:sz w:val="18"/>
                <w:szCs w:val="18"/>
                <w:color w:val="auto"/>
              </w:rPr>
              <w:t>44,142</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 revenues</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8,868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17,672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19,295</w:t>
            </w:r>
          </w:p>
        </w:tc>
        <w:tc>
          <w:tcPr>
            <w:tcW w:w="0" w:type="dxa"/>
            <w:vAlign w:val="bottom"/>
          </w:tcPr>
          <w:p>
            <w:pPr>
              <w:spacing w:after="0"/>
              <w:rPr>
                <w:sz w:val="1"/>
                <w:szCs w:val="1"/>
                <w:color w:val="auto"/>
              </w:rPr>
            </w:pPr>
          </w:p>
        </w:tc>
      </w:tr>
      <w:tr>
        <w:trPr>
          <w:trHeight w:val="237"/>
        </w:trPr>
        <w:tc>
          <w:tcPr>
            <w:tcW w:w="4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31,978</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color w:val="auto"/>
              </w:rPr>
              <w:t>61,814</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93,477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r>
              <w:rPr>
                <w:rFonts w:ascii="Times New Roman" w:cs="Times New Roman" w:eastAsia="Times New Roman" w:hAnsi="Times New Roman"/>
                <w:sz w:val="23"/>
                <w:szCs w:val="23"/>
                <w:color w:val="auto"/>
                <w:vertAlign w:val="superscript"/>
              </w:rPr>
              <w:t>1</w:t>
            </w: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7,083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4"/>
          </w:tcPr>
          <w:p>
            <w:pPr>
              <w:jc w:val="right"/>
              <w:ind w:right="15"/>
              <w:spacing w:after="0"/>
              <w:rPr>
                <w:sz w:val="20"/>
                <w:szCs w:val="20"/>
                <w:color w:val="auto"/>
              </w:rPr>
            </w:pPr>
            <w:r>
              <w:rPr>
                <w:rFonts w:ascii="Times New Roman" w:cs="Times New Roman" w:eastAsia="Times New Roman" w:hAnsi="Times New Roman"/>
                <w:sz w:val="18"/>
                <w:szCs w:val="18"/>
                <w:color w:val="auto"/>
              </w:rPr>
              <w:t>13,585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22,019</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revenues</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7,687</w:t>
            </w: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15,223</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0" w:type="dxa"/>
            <w:vAlign w:val="bottom"/>
          </w:tcPr>
          <w:p>
            <w:pPr>
              <w:spacing w:after="0"/>
              <w:rPr>
                <w:sz w:val="1"/>
                <w:szCs w:val="1"/>
                <w:color w:val="auto"/>
              </w:rPr>
            </w:pPr>
          </w:p>
        </w:tc>
      </w:tr>
      <w:tr>
        <w:trPr>
          <w:trHeight w:val="237"/>
        </w:trPr>
        <w:tc>
          <w:tcPr>
            <w:tcW w:w="4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cost of revenues</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14,770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22,587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4"/>
          </w:tcPr>
          <w:p>
            <w:pPr>
              <w:jc w:val="right"/>
              <w:ind w:right="15"/>
              <w:spacing w:after="0"/>
              <w:rPr>
                <w:sz w:val="20"/>
                <w:szCs w:val="20"/>
                <w:color w:val="auto"/>
              </w:rPr>
            </w:pPr>
            <w:r>
              <w:rPr>
                <w:rFonts w:ascii="Times New Roman" w:cs="Times New Roman" w:eastAsia="Times New Roman" w:hAnsi="Times New Roman"/>
                <w:sz w:val="18"/>
                <w:szCs w:val="18"/>
                <w:color w:val="auto"/>
              </w:rPr>
              <w:t>28,808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41,453</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17,208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33,006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52,024</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10,453</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18,468</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27,852</w:t>
            </w:r>
          </w:p>
        </w:tc>
        <w:tc>
          <w:tcPr>
            <w:tcW w:w="0" w:type="dxa"/>
            <w:vAlign w:val="bottom"/>
          </w:tcPr>
          <w:p>
            <w:pPr>
              <w:spacing w:after="0"/>
              <w:rPr>
                <w:sz w:val="1"/>
                <w:szCs w:val="1"/>
                <w:color w:val="auto"/>
              </w:rPr>
            </w:pPr>
          </w:p>
        </w:tc>
      </w:tr>
      <w:tr>
        <w:trPr>
          <w:trHeight w:val="270"/>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8,272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15,292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4"/>
          </w:tcPr>
          <w:p>
            <w:pPr>
              <w:jc w:val="right"/>
              <w:ind w:right="15"/>
              <w:spacing w:after="0"/>
              <w:rPr>
                <w:sz w:val="20"/>
                <w:szCs w:val="20"/>
                <w:color w:val="auto"/>
              </w:rPr>
            </w:pPr>
            <w:r>
              <w:rPr>
                <w:rFonts w:ascii="Times New Roman" w:cs="Times New Roman" w:eastAsia="Times New Roman" w:hAnsi="Times New Roman"/>
                <w:sz w:val="18"/>
                <w:szCs w:val="18"/>
                <w:color w:val="auto"/>
              </w:rPr>
              <w:t>15,638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26,257</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6,430</w:t>
            </w: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10,339</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0" w:type="dxa"/>
            <w:vAlign w:val="bottom"/>
          </w:tcPr>
          <w:p>
            <w:pPr>
              <w:spacing w:after="0"/>
              <w:rPr>
                <w:sz w:val="1"/>
                <w:szCs w:val="1"/>
                <w:color w:val="auto"/>
              </w:rPr>
            </w:pPr>
          </w:p>
        </w:tc>
      </w:tr>
      <w:tr>
        <w:trPr>
          <w:trHeight w:val="237"/>
        </w:trPr>
        <w:tc>
          <w:tcPr>
            <w:tcW w:w="4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25,155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41,871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4"/>
          </w:tcPr>
          <w:p>
            <w:pPr>
              <w:jc w:val="right"/>
              <w:ind w:right="15"/>
              <w:spacing w:after="0"/>
              <w:rPr>
                <w:sz w:val="20"/>
                <w:szCs w:val="20"/>
                <w:color w:val="auto"/>
              </w:rPr>
            </w:pPr>
            <w:r>
              <w:rPr>
                <w:rFonts w:ascii="Times New Roman" w:cs="Times New Roman" w:eastAsia="Times New Roman" w:hAnsi="Times New Roman"/>
                <w:sz w:val="18"/>
                <w:szCs w:val="18"/>
                <w:color w:val="auto"/>
              </w:rPr>
              <w:t>44,445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(19,964)</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43"/>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w:t>
            </w:r>
          </w:p>
        </w:tc>
        <w:tc>
          <w:tcPr>
            <w:tcW w:w="0" w:type="dxa"/>
            <w:vAlign w:val="bottom"/>
          </w:tcPr>
          <w:p>
            <w:pPr>
              <w:spacing w:after="0"/>
              <w:rPr>
                <w:sz w:val="1"/>
                <w:szCs w:val="1"/>
                <w:color w:val="auto"/>
              </w:rPr>
            </w:pPr>
          </w:p>
        </w:tc>
      </w:tr>
      <w:tr>
        <w:trPr>
          <w:trHeight w:val="243"/>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gridSpan w:val="3"/>
          </w:tcPr>
          <w:p>
            <w:pPr>
              <w:jc w:val="right"/>
              <w:ind w:right="15"/>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(19,556)</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attributable to non-controlling interest</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37"/>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(14,646)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nCino, Inc.:</w:t>
            </w:r>
          </w:p>
        </w:tc>
        <w:tc>
          <w:tcPr>
            <w:tcW w:w="9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9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8"/>
              </w:rPr>
              <w:t>76,420,098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84,629,777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4"/>
          </w:tcPr>
          <w:p>
            <w:pPr>
              <w:jc w:val="right"/>
              <w:ind w:right="15"/>
              <w:spacing w:after="0"/>
              <w:rPr>
                <w:sz w:val="20"/>
                <w:szCs w:val="20"/>
                <w:color w:val="auto"/>
              </w:rPr>
            </w:pPr>
            <w:r>
              <w:rPr>
                <w:rFonts w:ascii="Times New Roman" w:cs="Times New Roman" w:eastAsia="Times New Roman" w:hAnsi="Times New Roman"/>
                <w:sz w:val="18"/>
                <w:szCs w:val="18"/>
                <w:color w:val="auto"/>
              </w:rPr>
              <w:t>76,206,900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83,112,132</w:t>
            </w:r>
          </w:p>
        </w:tc>
        <w:tc>
          <w:tcPr>
            <w:tcW w:w="0" w:type="dxa"/>
            <w:vAlign w:val="bottom"/>
          </w:tcPr>
          <w:p>
            <w:pPr>
              <w:spacing w:after="0"/>
              <w:rPr>
                <w:sz w:val="1"/>
                <w:szCs w:val="1"/>
                <w:color w:val="auto"/>
              </w:rPr>
            </w:pPr>
          </w:p>
        </w:tc>
      </w:tr>
      <w:tr>
        <w:trPr>
          <w:trHeight w:val="27"/>
        </w:trPr>
        <w:tc>
          <w:tcPr>
            <w:tcW w:w="4800" w:type="dxa"/>
            <w:vAlign w:val="bottom"/>
            <w:vMerge w:val="restart"/>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stock-based compensation expense as follows:</w:t>
            </w: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4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49"/>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9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500" w:type="dxa"/>
            <w:vAlign w:val="bottom"/>
            <w:tcBorders>
              <w:bottom w:val="single" w:sz="8" w:color="CCEEFF"/>
            </w:tcBorders>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revenues</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0" w:type="dxa"/>
            <w:vAlign w:val="bottom"/>
          </w:tcPr>
          <w:p>
            <w:pPr>
              <w:spacing w:after="0"/>
              <w:rPr>
                <w:sz w:val="1"/>
                <w:szCs w:val="1"/>
                <w:color w:val="auto"/>
              </w:rPr>
            </w:pP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8"/>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 revenues</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72.3 %</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 revenues</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3"/>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gridSpan w:val="3"/>
          </w:tcPr>
          <w:p>
            <w:pPr>
              <w:spacing w:after="0"/>
              <w:rPr>
                <w:sz w:val="20"/>
                <w:szCs w:val="20"/>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
        </w:trPr>
        <w:tc>
          <w:tcPr>
            <w:tcW w:w="39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0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 (percentage shown in comparison to related revenues):</w:t>
            </w: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60" w:type="dxa"/>
            <w:vAlign w:val="bottom"/>
            <w:gridSpan w:val="6"/>
          </w:tcPr>
          <w:p>
            <w:pPr>
              <w:jc w:val="right"/>
              <w:ind w:right="159"/>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professional services revenues</w:t>
            </w:r>
          </w:p>
        </w:tc>
        <w:tc>
          <w:tcPr>
            <w:tcW w:w="6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3"/>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86.1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100.7</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gridSpan w:val="3"/>
          </w:tcPr>
          <w:p>
            <w:pPr>
              <w:spacing w:after="0"/>
              <w:rPr>
                <w:sz w:val="20"/>
                <w:szCs w:val="20"/>
                <w:color w:val="auto"/>
              </w:rPr>
            </w:pPr>
          </w:p>
        </w:tc>
        <w:tc>
          <w:tcPr>
            <w:tcW w:w="1220" w:type="dxa"/>
            <w:vAlign w:val="bottom"/>
            <w:tcBorders>
              <w:top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w:t>
            </w:r>
          </w:p>
        </w:tc>
        <w:tc>
          <w:tcPr>
            <w:tcW w:w="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6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6"/>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53.4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6"/>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60" w:type="dxa"/>
            <w:vAlign w:val="bottom"/>
            <w:gridSpan w:val="6"/>
          </w:tcPr>
          <w:p>
            <w:pPr>
              <w:jc w:val="right"/>
              <w:ind w:right="159"/>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3"/>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gridSpan w:val="3"/>
          </w:tcPr>
          <w:p>
            <w:pPr>
              <w:spacing w:after="0"/>
              <w:rPr>
                <w:sz w:val="20"/>
                <w:szCs w:val="20"/>
                <w:color w:val="auto"/>
              </w:rPr>
            </w:pPr>
          </w:p>
        </w:tc>
        <w:tc>
          <w:tcPr>
            <w:tcW w:w="1220" w:type="dxa"/>
            <w:vAlign w:val="bottom"/>
            <w:tcBorders>
              <w:top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71.9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77.0</w:t>
            </w:r>
          </w:p>
        </w:tc>
        <w:tc>
          <w:tcPr>
            <w:tcW w:w="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6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6"/>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6"/>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60" w:type="dxa"/>
            <w:vAlign w:val="bottom"/>
            <w:gridSpan w:val="6"/>
          </w:tcPr>
          <w:p>
            <w:pPr>
              <w:jc w:val="right"/>
              <w:ind w:right="119"/>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CCEEFF"/>
            </w:tcBorders>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6"/>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60" w:type="dxa"/>
            <w:vAlign w:val="bottom"/>
            <w:gridSpan w:val="6"/>
          </w:tcPr>
          <w:p>
            <w:pPr>
              <w:jc w:val="right"/>
              <w:ind w:right="159"/>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0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July 31, 2019 and 2020</w:t>
            </w: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860" w:type="dxa"/>
            <w:vAlign w:val="bottom"/>
            <w:gridSpan w:val="9"/>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8"/>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10"/>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72.3 %</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39,351</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80.7 %</w:t>
            </w: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44,142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71.4 %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 revenues</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110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100" w:type="dxa"/>
            <w:vAlign w:val="bottom"/>
            <w:tcBorders>
              <w:bottom w:val="single" w:sz="8" w:color="CCEEFF"/>
            </w:tcBorders>
            <w:gridSpan w:val="4"/>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61,814</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93,477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Subscription Revenues</w:t>
      </w:r>
    </w:p>
    <w:p>
      <w:pPr>
        <w:spacing w:after="0" w:line="227" w:lineRule="exact"/>
        <w:rPr>
          <w:sz w:val="20"/>
          <w:szCs w:val="20"/>
          <w:color w:val="auto"/>
        </w:rPr>
      </w:pPr>
    </w:p>
    <w:p>
      <w:pPr>
        <w:ind w:right="20" w:firstLine="891"/>
        <w:spacing w:after="0" w:line="255" w:lineRule="auto"/>
        <w:rPr>
          <w:sz w:val="20"/>
          <w:szCs w:val="20"/>
          <w:color w:val="auto"/>
        </w:rPr>
      </w:pPr>
      <w:r>
        <w:rPr>
          <w:rFonts w:ascii="Times New Roman" w:cs="Times New Roman" w:eastAsia="Times New Roman" w:hAnsi="Times New Roman"/>
          <w:sz w:val="18"/>
          <w:szCs w:val="18"/>
          <w:color w:val="auto"/>
        </w:rPr>
        <w:t>Subscription revenues increased $16.2 million for the three months ended July 31, 2020 compared to the three months ended July 31, 2019, primarily due to new customer additions, including customers added as a result of our acquisitions of Visible Equity and FinSuite, as well as expansion from existing customers within and across lines of business and price increases. Of the increase, 71.9% was attributable to increased revenues from existing customers as additional seats were activated in accordance with contractual terms and customers expanded their adoption of our solution, 14.0% was attributable to revenues from Visible Equity and FinSuite, and 14.1% was attributable to revenues from new nCino Bank Operating System customers. Subscription revenues were 80.7% of total revenues for the three months ended July 31, 2020 compared to 72.3% of total revenues for the three months ended July 31, 2019, reflecting the growth in our installed base.</w:t>
      </w:r>
    </w:p>
    <w:p>
      <w:pPr>
        <w:spacing w:after="0" w:line="189"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Subscription revenues increased $30.0 million for the six months ended July 31, 2020 compared to the six months ended July 31, 2019, primarily due to new customer additions, including customers added as a result of our acquisitions of Visible Equity and FinSuite, as well as expansion from existing customers within and across lines of business and price increases. Of the increase, 71.6% was attributable to increased revenues from existing customers as additional seats were activated in accordance with contractual terms and customers expanded their adoption of our solution, 16.1% was attributable to revenues from Visible Equity and FinSuite, and 12.3% was attributable to revenues from new nCino Bank Operating System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customers. Subscription revenues were 79.4% of total revenues for the six months ended July 31, 2020 compared to 71.4% of total revenues for the six months ended July 31, 2019, reflecting the growth in our installed base.</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Professional Services Revenues</w:t>
      </w:r>
    </w:p>
    <w:p>
      <w:pPr>
        <w:spacing w:after="0" w:line="227" w:lineRule="exact"/>
        <w:rPr>
          <w:sz w:val="20"/>
          <w:szCs w:val="20"/>
          <w:color w:val="auto"/>
        </w:rPr>
      </w:pPr>
    </w:p>
    <w:p>
      <w:pPr>
        <w:ind w:right="220" w:firstLine="891"/>
        <w:spacing w:after="0" w:line="266" w:lineRule="auto"/>
        <w:rPr>
          <w:sz w:val="20"/>
          <w:szCs w:val="20"/>
          <w:color w:val="auto"/>
        </w:rPr>
      </w:pPr>
      <w:r>
        <w:rPr>
          <w:rFonts w:ascii="Times New Roman" w:cs="Times New Roman" w:eastAsia="Times New Roman" w:hAnsi="Times New Roman"/>
          <w:sz w:val="18"/>
          <w:szCs w:val="18"/>
          <w:color w:val="auto"/>
        </w:rPr>
        <w:t>Professional services revenues increased $0.5 million for the three months ended July 31, 2020 compared to the three months ended July 31, 2019, primarily due to the addition of new customers as well as expanded adoption by existing customers within and across lines of business where implementation, configuration and training services were required.</w:t>
      </w:r>
    </w:p>
    <w:p>
      <w:pPr>
        <w:spacing w:after="0" w:line="176"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Professional services revenues increased $1.6 million for the six months ended July 31, 2020 compared to the six months ended July 31, 2019, primarily due to the addition of new customers as well as expanded adoption by existing customers within and across lines of business where implementation, configuration and training services were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8"/>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Borders>
              <w:bottom w:val="single" w:sz="8" w:color="auto"/>
            </w:tcBorders>
          </w:tcPr>
          <w:p>
            <w:pPr>
              <w:spacing w:after="0"/>
              <w:rPr>
                <w:sz w:val="17"/>
                <w:szCs w:val="17"/>
                <w:color w:val="auto"/>
              </w:rPr>
            </w:pPr>
          </w:p>
        </w:tc>
      </w:tr>
      <w:tr>
        <w:trPr>
          <w:trHeight w:val="161"/>
        </w:trPr>
        <w:tc>
          <w:tcPr>
            <w:tcW w:w="30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Cost of Revenues (percentage shown in</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r>
      <w:tr>
        <w:trPr>
          <w:trHeight w:val="229"/>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comparison to related revenues):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43"/>
        </w:trPr>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3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11,920</w:t>
            </w:r>
          </w:p>
        </w:tc>
        <w:tc>
          <w:tcPr>
            <w:tcW w:w="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13,585</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25"/>
        </w:trPr>
        <w:tc>
          <w:tcPr>
            <w:tcW w:w="3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professional services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61"/>
        </w:trPr>
        <w:tc>
          <w:tcPr>
            <w:tcW w:w="3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3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10,667</w:t>
            </w:r>
          </w:p>
        </w:tc>
        <w:tc>
          <w:tcPr>
            <w:tcW w:w="3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15,223</w:t>
            </w:r>
          </w:p>
        </w:tc>
        <w:tc>
          <w:tcPr>
            <w:tcW w:w="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63"/>
        </w:trPr>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3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22,587</w:t>
            </w:r>
          </w:p>
        </w:tc>
        <w:tc>
          <w:tcPr>
            <w:tcW w:w="3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28,808</w:t>
            </w: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41,453</w:t>
            </w:r>
          </w:p>
        </w:tc>
        <w:tc>
          <w:tcPr>
            <w:tcW w:w="60" w:type="dxa"/>
            <w:vAlign w:val="bottom"/>
            <w:tcBorders>
              <w:top w:val="single" w:sz="8" w:color="auto"/>
              <w:bottom w:val="single" w:sz="8" w:color="auto"/>
            </w:tcBorders>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0" w:type="dxa"/>
            <w:vAlign w:val="bottom"/>
          </w:tcPr>
          <w:p>
            <w:pPr>
              <w:spacing w:after="0"/>
              <w:rPr>
                <w:sz w:val="22"/>
                <w:szCs w:val="22"/>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84"/>
        </w:trPr>
        <w:tc>
          <w:tcPr>
            <w:tcW w:w="30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17,208</w:t>
            </w:r>
          </w:p>
        </w:tc>
        <w:tc>
          <w:tcPr>
            <w:tcW w:w="36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26,178</w:t>
            </w:r>
          </w:p>
        </w:tc>
        <w:tc>
          <w:tcPr>
            <w:tcW w:w="3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w:t>
            </w: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shd w:val="clear" w:color="auto" w:fill="CCEEFF"/>
          </w:tcPr>
          <w:p>
            <w:pPr>
              <w:spacing w:after="0"/>
              <w:rPr>
                <w:sz w:val="24"/>
                <w:szCs w:val="24"/>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Subscription Revenues</w:t>
      </w:r>
    </w:p>
    <w:p>
      <w:pPr>
        <w:spacing w:after="0" w:line="227" w:lineRule="exact"/>
        <w:rPr>
          <w:sz w:val="20"/>
          <w:szCs w:val="20"/>
          <w:color w:val="auto"/>
        </w:rPr>
      </w:pPr>
    </w:p>
    <w:p>
      <w:pPr>
        <w:ind w:right="80" w:firstLine="891"/>
        <w:spacing w:after="0" w:line="255" w:lineRule="auto"/>
        <w:rPr>
          <w:sz w:val="20"/>
          <w:szCs w:val="20"/>
          <w:color w:val="auto"/>
        </w:rPr>
      </w:pPr>
      <w:r>
        <w:rPr>
          <w:rFonts w:ascii="Times New Roman" w:cs="Times New Roman" w:eastAsia="Times New Roman" w:hAnsi="Times New Roman"/>
          <w:sz w:val="18"/>
          <w:szCs w:val="18"/>
          <w:color w:val="auto"/>
        </w:rPr>
        <w:t>Cost of subscription revenues increased $4.8 million for the three months ended July 31, 2020 compared to the three months ended July 31, 2019, generating a gross margin for subscription revenues of 69.7% compared to a gross margin of 69.4% for the three months ended July 31, 2019. Costs related to Salesforce user fees increased $3.3 million as we continued to add new customers and sell additional functionality to existing customers, and personnel costs increased $0.6 million as we added new employees. Stock-based compensation expense increased $0.2 million related to RSUs vesting upon the IPO. Amortization expense for acquired developed technology related to the acquisition of Visible Equity and Finsuite increased $0.3 million due to amortization expense during the full period for the three months ended July 31, 2020. Other costs of subscription revenues increased $0.3 million due to data services purchased for resale.</w:t>
      </w:r>
    </w:p>
    <w:p>
      <w:pPr>
        <w:spacing w:after="0" w:line="189"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Cost of subscription revenues increased $8.4 million for the six months ended July 31, 2020 compared to the six months ended July 31, 2019, generating a gross margin for subscription revenues of 70.3% compared to a gross margin of 69.2% for the six months ended July 31, 2019. Costs related to Salesforce user fees increased $5.8 million as we continued to add new customers and sell additional functionality to existing customers, and personnel costs increased $1.1 million as we added new employees. Stock-based compensation expense increased $0.2 million related to RSUs vesting upon the IPO. Amortization expense for acquired developed technology related to the acquisition of Visible Equity and Finsuite increased $0.7 million due to amortization expense during the full period for the six months ended July 31, 2020. Other costs of subscription revenues increased $0.5 million due to data services purchased for resale. We expect the cost of subscription revenues will continue to increase in absolute dollars as the number of users of the nCino Bank Operating System grows.</w:t>
      </w:r>
    </w:p>
    <w:p>
      <w:pPr>
        <w:spacing w:after="0" w:line="1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Professional Services Revenues</w:t>
      </w:r>
    </w:p>
    <w:p>
      <w:pPr>
        <w:spacing w:after="0" w:line="227" w:lineRule="exact"/>
        <w:rPr>
          <w:sz w:val="20"/>
          <w:szCs w:val="20"/>
          <w:color w:val="auto"/>
        </w:rPr>
      </w:pPr>
    </w:p>
    <w:p>
      <w:pPr>
        <w:ind w:right="100" w:firstLine="891"/>
        <w:spacing w:after="0" w:line="253" w:lineRule="auto"/>
        <w:rPr>
          <w:sz w:val="20"/>
          <w:szCs w:val="20"/>
          <w:color w:val="auto"/>
        </w:rPr>
      </w:pPr>
      <w:r>
        <w:rPr>
          <w:rFonts w:ascii="Times New Roman" w:cs="Times New Roman" w:eastAsia="Times New Roman" w:hAnsi="Times New Roman"/>
          <w:sz w:val="18"/>
          <w:szCs w:val="18"/>
          <w:color w:val="auto"/>
        </w:rPr>
        <w:t>Cost of professional services revenues increased $3.0 million for the three months ended July 31, 2020 compared to the three months ended July 31, 2019, generating a gross margin for professional services of (13.3)% compared to a gross margin of 13.3% for the three months ended July 31, 2019. Excluding the effect of additional stock-based compensation expense related to RSUs resulting from our IPO, gross margin for professional services for the three months ended July 31, 2020 was 8.0%. For the three months ended July 31, 2020, personnel costs increased $1.7 million for the professional services team compared to the prior year period due to increased headcount. Stock-based compensation expense increased $2.0 million related to RSUs vesting upon the IPO. Allocated overhead costs increased $0.2 million compared to the prior year period due to growth supporting our continued business expansion. These increases were partially offset by a $0.7 million decrease in reimbursable, and a $0.2 million decrease in non-reimbursable, travel and related expenses for the professional service organization due to COVID-19-related travel restrictions. The decrease in our professional services gross margin for the three months ended July 31, 2020 was due to the mix of SI or Company led implementations and additional stock-based compensation expense.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891"/>
        <w:spacing w:after="0" w:line="253" w:lineRule="auto"/>
        <w:rPr>
          <w:sz w:val="20"/>
          <w:szCs w:val="20"/>
          <w:color w:val="auto"/>
        </w:rPr>
      </w:pPr>
      <w:r>
        <w:rPr>
          <w:rFonts w:ascii="Times New Roman" w:cs="Times New Roman" w:eastAsia="Times New Roman" w:hAnsi="Times New Roman"/>
          <w:sz w:val="18"/>
          <w:szCs w:val="18"/>
          <w:color w:val="auto"/>
        </w:rPr>
        <w:t>Cost of professional services revenues increased $4.2 million for the six months ended July 31, 2020 compared to the six months ended July 31, 2019, generating a gross margin for professional services of (0.7)% compared to a gross margin of 13.9% for the six months ended July 31, 2019. Excluding the effect of additional stock-based compensation expense related to RSUs resulting from our IPO, gross margin for professional services for the six months ended July 31, 2020 was 9.7%. For the six months ended July 31, 2020, personnel costs increased $3.3 million for the professional services team compared to the prior year period due to increased headcount. Stock-based compensation expense increased $2.0 million related to RSUs vesting upon the IPO. Allocated overhead costs increased $0.3 million compared to the prior year period due to growth supporting our continued business expansion. These increases were partially offset by a $1.1 million decrease in reimbursable, and a $0.3 million decrease in non-reimbursable, travel and related expenses for the professional service organization due to COVID-19-related travel restrictions. The decrease in our professional services gross margin for the six months ended July 31, 2020 was due to the mix of SI or Company led implementations and additional stock-based compensation expense.</w:t>
      </w:r>
    </w:p>
    <w:p>
      <w:pPr>
        <w:spacing w:after="0" w:line="194" w:lineRule="exact"/>
        <w:rPr>
          <w:sz w:val="20"/>
          <w:szCs w:val="20"/>
          <w:color w:val="auto"/>
        </w:rPr>
      </w:pPr>
    </w:p>
    <w:p>
      <w:pPr>
        <w:ind w:right="200" w:firstLine="891"/>
        <w:spacing w:after="0" w:line="266" w:lineRule="auto"/>
        <w:rPr>
          <w:sz w:val="20"/>
          <w:szCs w:val="20"/>
          <w:color w:val="auto"/>
        </w:rPr>
      </w:pPr>
      <w:r>
        <w:rPr>
          <w:rFonts w:ascii="Times New Roman" w:cs="Times New Roman" w:eastAsia="Times New Roman" w:hAnsi="Times New Roman"/>
          <w:sz w:val="18"/>
          <w:szCs w:val="18"/>
          <w:color w:val="auto"/>
        </w:rPr>
        <w:t>Excluding the effect of IPO associated expenses related to RSUs, we expect the cost of professional services revenues to increase in absolute dollars in the near term as we add new customer subscriptions that require professional services. For the balance of fiscal 2021, we expect reduced professional services gross margins as utilization is adversely affected by travel restrictions and work-from-home restrictions resulting from COVID-19.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8"/>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235"/>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3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15,626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27,852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15,638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21"/>
                <w:szCs w:val="2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64"/>
        </w:trPr>
        <w:tc>
          <w:tcPr>
            <w:tcW w:w="31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41,871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44,445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71,988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36"/>
        </w:trPr>
        <w:tc>
          <w:tcPr>
            <w:tcW w:w="31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(15,693)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(11,439)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(19,964)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7"/>
        </w:trPr>
        <w:tc>
          <w:tcPr>
            <w:tcW w:w="3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Sales and marketing expenses increased $5.2 million for the three months ended July 31, 2020 compared to the three months ended July 31, 2019, due to an increase of $3.4 million in personnel costs resulting from an increase in headcount on the sales and marketing teams. Stock-based compensation expense increased $3.1 million related to RSUs vesting upon the IPO. The increase in sales and marketing expenses also included a $0.3 million increase in allocated overhead costs and a $0.1 million increase in outside consulting fees due to growth supporting our continued business expansion. Amortization expense for acquired customer relationships related to the acquisition of Visible Equity increased $0.3 million due to amortization expense during the full period for the three months ended July 31, 2020. The increase in sales and marketing expenses for the three months ended July 31, 2020 was partially offset by a decrease of $0.8 million in marketing costs and a decrease of $1.2 million in sales-related travel costs due to COVID-19-related travel restrictions.</w:t>
      </w:r>
    </w:p>
    <w:p>
      <w:pPr>
        <w:spacing w:after="0" w:line="192"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Sales and marketing expenses increased $9.4 million for the six months ended July 31, 2020 compared to the six months ended July 31, 2019, primarily due to an increase of $6.4 million in personnel costs resulting from an increase in headcount on the sales and marketing teams. Stock-based compensation expense increased $3.1 million related to RSUs vesting upon the IPO. The increase in sales and marketing expenses also included a $0.8 million increase in allocated overhead costs and a $0.4 million increase in outside consulting fees due to growth supporting our continued business expansion. Amortization expense for acquired customer relationships related to the acquisition of Visible Equity increased $0.7 million due to amortization expense during the full period for the six months ended July 31, 2020. The increase in sales and marketing expenses for the six months ended July 31, 2020 was partially offset by a decrease of $0.4 million in marketing costs and a decrease of $1.6 million in sales-related travel costs due to COVID-19-related travel restrictions.</w:t>
      </w:r>
    </w:p>
    <w:p>
      <w:pPr>
        <w:spacing w:after="0" w:line="192" w:lineRule="exact"/>
        <w:rPr>
          <w:sz w:val="20"/>
          <w:szCs w:val="20"/>
          <w:color w:val="auto"/>
        </w:rPr>
      </w:pPr>
    </w:p>
    <w:p>
      <w:pPr>
        <w:ind w:right="60" w:firstLine="891"/>
        <w:spacing w:after="0" w:line="282" w:lineRule="auto"/>
        <w:rPr>
          <w:sz w:val="20"/>
          <w:szCs w:val="20"/>
          <w:color w:val="auto"/>
        </w:rPr>
      </w:pPr>
      <w:r>
        <w:rPr>
          <w:rFonts w:ascii="Times New Roman" w:cs="Times New Roman" w:eastAsia="Times New Roman" w:hAnsi="Times New Roman"/>
          <w:sz w:val="18"/>
          <w:szCs w:val="18"/>
          <w:color w:val="auto"/>
        </w:rPr>
        <w:t>Our sales and marketing headcount grew by 49 from July 31, 2019 to July 31, 2020. Excluding the effect of IPO associated expenses related to RSUs, we expect sales and marketing expenses to increase in absolute dollars as we invest in expanding our customer base and user adoption.</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60" w:firstLine="891"/>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$7.0 million for the three months ended July 31, 2020 compared to the three months ended July 31, 2019, primarily due to an increase of $3.7 million in personnel costs resulting from continued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growth in headcount, a $0.4 million increase in allocated overhead costs due to growth supporting our continued business expansion and an increase of $0.3 million in the use of third-party contractors. Stock-based compensation expense increased $2.7 million related to RSUs vesting upon the IPO.</w:t>
      </w:r>
    </w:p>
    <w:p>
      <w:pPr>
        <w:spacing w:after="0" w:line="162"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$10.6 million for the six months ended July 31, 2020 compared to the six months ended July 31, 2019, primarily due to an increase of $7.2 million in personnel costs resulting from continued growth in headcount and a $0.8 million increase in allocated overhead costs due to growth supporting our continued business expansion. Stock-based compensation expense increased $2.7 million related to RSUs vesting upon the IPO.</w:t>
      </w:r>
    </w:p>
    <w:p>
      <w:pPr>
        <w:spacing w:after="0" w:line="180"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Our research and development headcount grew by 108 from July 31, 2019 to July 31, 2020. Excluding the effect of IPO associated expenses related to RSUs, we expect research and development expenses to increase in absolute dollars due to higher headcount as we develop new applications and further enhance the nCino Bank Operating System.</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$4.5 million for the three months ended July 31, 2020 compared to the three months ended July 31, 2019, primarily due to stock-based compensation expense of $4.2 million related to RSUs vesting upon the IPO, partially offset by $1.2 million of stock-based compensation for the accelerated vesting of an executive for the three months ended July 31, 2019 that did not occur for the three months ended July 31, 2020. Personnel costs increased $0.4 million from increased headcount as we continued to scale our business. Third party professional fees increased $0.2 million for the three months ended July 31, 2020 compared to the three months ended July 31, 2019. Allocated overhead and other general and administrative costs increased $1.0 million, which consisted primarily of bad debt expense and insurance costs.</w:t>
      </w:r>
    </w:p>
    <w:p>
      <w:pPr>
        <w:spacing w:after="0" w:line="187" w:lineRule="exact"/>
        <w:rPr>
          <w:sz w:val="20"/>
          <w:szCs w:val="20"/>
          <w:color w:val="auto"/>
        </w:rPr>
      </w:pPr>
    </w:p>
    <w:p>
      <w:pPr>
        <w:ind w:right="80" w:firstLine="891"/>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$7.5 million for the six months ended July 31, 2020 compared to the six months ended July 31, 2019, primarily due to stock-based compensation expense of $4.2 million related to RSUs vesting upon the IPO, partially offset by $1.2 million of stock-based compensation for the accelerated vesting of an executive for the three months ended July 31, 2019 that did not occur for the three months ended July 31, 2020. Personnel costs increased $2.0 million from increased headcount as we continued to scale our business. Third party professional fees increased $1.0 million for the six months ended July 31, 2020 compared to the six months ended July 31, 2019, mostly attributable to costs related to the Company’s IPO. Allocated overhead and other general and administrative costs increased $1.7 million, which consisted primarily of bad debt expense, charitable contributions and insurance costs.</w:t>
      </w:r>
    </w:p>
    <w:p>
      <w:pPr>
        <w:spacing w:after="0" w:line="189" w:lineRule="exact"/>
        <w:rPr>
          <w:sz w:val="20"/>
          <w:szCs w:val="20"/>
          <w:color w:val="auto"/>
        </w:rPr>
      </w:pPr>
    </w:p>
    <w:p>
      <w:pPr>
        <w:ind w:right="300" w:firstLine="891"/>
        <w:spacing w:after="0" w:line="266" w:lineRule="auto"/>
        <w:rPr>
          <w:sz w:val="20"/>
          <w:szCs w:val="20"/>
          <w:color w:val="auto"/>
        </w:rPr>
      </w:pPr>
      <w:r>
        <w:rPr>
          <w:rFonts w:ascii="Times New Roman" w:cs="Times New Roman" w:eastAsia="Times New Roman" w:hAnsi="Times New Roman"/>
          <w:sz w:val="18"/>
          <w:szCs w:val="18"/>
          <w:color w:val="auto"/>
        </w:rPr>
        <w:t>Our general and administrative headcount grew by 35 from July 31, 2019 to July 31, 2020. Excluding the effect of IPO associated expenses related to RSUs, we expect general and administrative expenses to increase in absolute dollars in the near term, primarily due to higher headcount to support our continued growth and additional expenses for our transition to, and continuing costs of, being a public company.</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Effects of COVID-19</w:t>
      </w:r>
    </w:p>
    <w:p>
      <w:pPr>
        <w:spacing w:after="0" w:line="227"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COVID-19 began affecting our business in our first quarter fiscal 2021. To date, we have not experienced a material increase in customers’ delaying purchase decisions or cancellations nor have we had a material impact from vendors and third-party service providers we rely on. Beginning in mid-March 2020, we implemented a company-wide work-from-home requirement for all of our employees and suspended all work-related travel. In addition, we shifted our conferences and other marketing events to virtual-only for the foreseeable future. We expect these restrictions to stay in effect during the third quarter of fiscal 2021 and could extend further into future quarters. To the extent COVID-19 has measurably affected our historical financial results, we have noted such effects in the discussion above. We are aware that there are effects of the COVID-19 pandemic in terms of efficiency, productivity, workforce retention and other matters that are not directly measurable. The extent of the impact of the COVID-19 pandemic on our operational and financial performance will depend on future developments unknown and unpredictable at this time, including the duration, severity and spread of the pandemic, the effects of the pandemic on financial institutions generally as well as on our customers, their clients and on our business partners in particular, restrictions on travel and other actions that may be taken by governmental authorities and other factors. For further information, please see, “—Factors Affecting Our Operating Results—COVID-19 Effects on Demand for Our Solutions” and “Risk Factors—Uncertain or weakened economic conditions, including as a result of the recent coronavirus outbreak, may adversely affect our industry, business and results of operations.”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80" w:firstLine="891"/>
        <w:spacing w:after="0" w:line="266" w:lineRule="auto"/>
        <w:rPr>
          <w:sz w:val="20"/>
          <w:szCs w:val="20"/>
          <w:color w:val="auto"/>
        </w:rPr>
      </w:pPr>
      <w:r>
        <w:rPr>
          <w:rFonts w:ascii="Times New Roman" w:cs="Times New Roman" w:eastAsia="Times New Roman" w:hAnsi="Times New Roman"/>
          <w:sz w:val="18"/>
          <w:szCs w:val="18"/>
          <w:color w:val="auto"/>
        </w:rPr>
        <w:t>As of July 31, 2020, we had $388.2 million in cash and cash equivalents, and an accumulated deficit of $140.1 million. Our net losses have been driven by our investments in developing the nCino Bank Operating System, expanding our sales and marketing organization and scaling our finance and administrative functions to support our rapid growth. We expect to continue to incur operating losses for the foreseeable future.</w:t>
      </w:r>
    </w:p>
    <w:p>
      <w:pPr>
        <w:spacing w:after="0" w:line="176"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color w:val="auto"/>
        </w:rPr>
        <w:t>To date, we have funded our capital needs through issuances of common stock and collections from our customers. In July 2020, we closed our IPO of 9,269,000 shares of common stock (including shares issued pursuant to the exercise in full of the underwriters' options to purchase additional shares) at a public offering price of $31.00 per share, resulting in aggregate net proceeds to us of $268.4 million after deducting underwriting discounts and commissions. We paid $1.3 million in additional IPO related costs during the six months ended July 31, 2020.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 In addition, our advanced billing and collection coupled with our recent growth has resulted in our cash used in operating activities generally being less than our net operating losses in recent periods.</w:t>
      </w:r>
    </w:p>
    <w:p>
      <w:pPr>
        <w:spacing w:after="0" w:line="1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believe that current cash and cash equivalents will be sufficient to fund our operations and capital requirements for at least the next</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 the continued expansion of our sales and marketing activities, investments in office facilities and other capital expenditure requirements and any potential future acquisitions.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nCino K.K.</w:t>
      </w:r>
    </w:p>
    <w:p>
      <w:pPr>
        <w:spacing w:after="0" w:line="229"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2020 and July 31, 2020, the redeemable non-controlling interest of non-controlling interests in nCino K.K. was $4.4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Summary Cash Flow information for the six months ended July 31, 2019 and 2020 are set forth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100" w:type="dxa"/>
            <w:vAlign w:val="bottom"/>
            <w:tcBorders>
              <w:bottom w:val="single" w:sz="8" w:color="auto"/>
            </w:tcBorders>
          </w:tcPr>
          <w:p>
            <w:pPr>
              <w:spacing w:after="0"/>
              <w:rPr>
                <w:sz w:val="16"/>
                <w:szCs w:val="16"/>
                <w:color w:val="auto"/>
              </w:rPr>
            </w:pPr>
          </w:p>
        </w:tc>
      </w:tr>
      <w:tr>
        <w:trPr>
          <w:trHeight w:val="198"/>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31,906</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(50,843)</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r>
      <w:tr>
        <w:trPr>
          <w:trHeight w:val="27"/>
        </w:trPr>
        <w:tc>
          <w:tcPr>
            <w:tcW w:w="7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267,891</w:t>
            </w:r>
          </w:p>
        </w:tc>
      </w:tr>
      <w:tr>
        <w:trPr>
          <w:trHeight w:val="27"/>
        </w:trPr>
        <w:tc>
          <w:tcPr>
            <w:tcW w:w="74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The $31.9 million provided by operating activities in the six months ended July 31, 2020 reflects our net loss of $19.6 million, offset by $20.9 million in non-cash charges and $30.6 million generated by changes in working capital accounts. Non-cash charges primarily consisted of stock-based compensation, depreciation and amortization, and amortization of costs capitalized to obtain revenue contracts. Cash generated by working capital accounts was principally a function of a $25.2 million increase in our deferred revenue, as we expanded our customer base and renewed existing customers, and a $12.6 million decrease in accounts receivable. The cash generated by working capital accounts was partially offset by a $3.5 million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decrease in accounts payable and accrued expenses and other liabilities, a decrease of $0.1 million in deferred rent, and payments of $3.6 million of capitalized costs to obtain revenue contracts, which consisted primarily of sales commissions.</w:t>
      </w:r>
    </w:p>
    <w:p>
      <w:pPr>
        <w:spacing w:after="0" w:line="162" w:lineRule="exact"/>
        <w:rPr>
          <w:sz w:val="20"/>
          <w:szCs w:val="20"/>
          <w:color w:val="auto"/>
        </w:rPr>
      </w:pPr>
    </w:p>
    <w:p>
      <w:pPr>
        <w:ind w:right="20" w:firstLine="891"/>
        <w:spacing w:after="0" w:line="255" w:lineRule="auto"/>
        <w:rPr>
          <w:sz w:val="20"/>
          <w:szCs w:val="20"/>
          <w:color w:val="auto"/>
        </w:rPr>
      </w:pPr>
      <w:r>
        <w:rPr>
          <w:rFonts w:ascii="Times New Roman" w:cs="Times New Roman" w:eastAsia="Times New Roman" w:hAnsi="Times New Roman"/>
          <w:sz w:val="18"/>
          <w:szCs w:val="18"/>
          <w:color w:val="auto"/>
        </w:rPr>
        <w:t>The $10.7 million provided by operating activities in the six months ended July 31, 2019 reflects our net loss of $11.9 million, offset by $6.5 million in non-cash charges and $16.1 million generated by changes in working capital accounts. Non-cash charges primarily consisted of stock-based compensation, depreciation and amortization, and amortization of costs capitalized to obtain revenue contracts. Cash generated by working capital accounts was principally a function of a $14.4 million increase in our deferred revenue, as we expanded our customer base and renewed existing customers, a $1.0 million increase in deferred rent, and a $4.2 million decrease in accounts receivable. The cash generated by working capital accounts was partially offset by a $1.6 million decrease in accounts payable and accrued expenses and other liabilities, a $0.1 million increase in prepaid expenses and other assets, and payments of $1.8 million of capitalized costs to obtain revenue contracts, which consisted primarily of sales commissions.</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We used $2.9 million in investing activities in the six months ended July 31, 2020 for the purchase of property and equipment and leasehold improvements to support the expansion of our business. The $50.8 million used in investing activities in the six months ended July 31, 2019 comprised of $2.6 million used for the purchase of property and equipment and leasehold improvements to support the expansion of our business and $48.2 million used in the acquisition of Visible Equity.</w:t>
      </w:r>
    </w:p>
    <w:p>
      <w:pPr>
        <w:spacing w:after="0" w:line="1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The $267.9 million provided by financing activities in the six months ended July 31, 2020 was comprised $268.4 million in proceeds from the initial public offering in July 2020, net of underwriting discounts and commissions and $0.9 million of proceeds from the exercise of stock options. The cash provided by financing activities was partially reduced by payments of $1.3 million in costs related to the IPO. The $0.5 million provided by financing activities in the six months ended July 31, 2019 was comprised of proceeds from the exercise of stock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There were no material changes to our contractual obligations and commitments as of July 31, 2020 compared to January 31,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80" w:firstLine="891"/>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spacing w:after="0" w:line="174" w:lineRule="exact"/>
        <w:rPr>
          <w:sz w:val="20"/>
          <w:szCs w:val="20"/>
          <w:color w:val="auto"/>
        </w:rPr>
      </w:pPr>
    </w:p>
    <w:p>
      <w:pPr>
        <w:ind w:firstLine="891"/>
        <w:spacing w:after="0" w:line="250"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or estimates as compared to those disclosed in the Final Prospectus for our IPO dated July 13, 2020 and filed with the SEC pursuant to Rule 424(b)(4) on July 14,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580" w:firstLine="891"/>
        <w:spacing w:after="0" w:line="282"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included elsewhere in this Quarterly Report on Form 10-Q for recently adopted accounting pronouncements and recently issued accounting pronouncements not yet adopted.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300" w:firstLine="891"/>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At July 31, 2020, we had cash and cash equivalents of $388.2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Quarterly Report on Form 10-Q. We do not enter into investments for trading or speculative purposes and have not used any derivative financial instruments to manage our interest rate risk exposure.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consolidated statements of operations. Furthermore, our customers outside of the United States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principal executive officer and principal financial officer, evaluated the effectiveness of our disclosure controls and procedures at July 31, 2020, the last day of the period covered by this Quarterly Report on Form 10-Q. Based on this evaluation, our principal executive officer and principal financial officer have concluded that, at July 31, 2020, our disclosure controls and procedures were effective at the reasonable assurance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40" w:firstLine="891"/>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on Form 10-Q that has materially affected, or is reasonably likely to materially affect, our internal control over financial reporting.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Disclosure Controls and Procedures</w:t>
      </w:r>
    </w:p>
    <w:p>
      <w:pPr>
        <w:spacing w:after="0" w:line="229"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is based in part upon certain assumptions about the likelihood of future events, and there can be no assurance that any design will succeed in achieving its stated goals under all potential future conditions</w:t>
      </w:r>
      <w:r>
        <w:rPr>
          <w:rFonts w:ascii="Arial" w:cs="Arial" w:eastAsia="Arial" w:hAnsi="Arial"/>
          <w:sz w:val="18"/>
          <w:szCs w:val="18"/>
          <w:color w:val="auto"/>
        </w:rPr>
        <w:t>.</w:t>
      </w: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891"/>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business. We are not presently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firstLine="881"/>
        <w:spacing w:after="0" w:line="257" w:lineRule="auto"/>
        <w:rPr>
          <w:sz w:val="20"/>
          <w:szCs w:val="20"/>
          <w:color w:val="auto"/>
        </w:rPr>
      </w:pPr>
      <w:r>
        <w:rPr>
          <w:rFonts w:ascii="Times New Roman" w:cs="Times New Roman" w:eastAsia="Times New Roman" w:hAnsi="Times New Roman"/>
          <w:sz w:val="18"/>
          <w:szCs w:val="18"/>
          <w:i w:val="1"/>
          <w:iCs w:val="1"/>
          <w:color w:val="auto"/>
        </w:rPr>
        <w:t>You should consider and read carefully all of the risks and uncertainties described below, as well as other information included in this Quarterly Report on Form 10-Q, including the section titled "Management's Discussion and Analysis of Financial Condition and Results of Operations" and our unaudited condensed consolidated financial statements and related notes before making an investment decision with respect to our common stock.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predict our future operating results, and we may not achieve our expected operating results in the future.</w:t>
      </w:r>
    </w:p>
    <w:p>
      <w:pPr>
        <w:spacing w:after="0" w:line="159" w:lineRule="exact"/>
        <w:rPr>
          <w:sz w:val="20"/>
          <w:szCs w:val="20"/>
          <w:color w:val="auto"/>
        </w:rPr>
      </w:pPr>
    </w:p>
    <w:p>
      <w:pPr>
        <w:ind w:right="100" w:firstLine="881"/>
        <w:spacing w:after="0" w:line="258" w:lineRule="auto"/>
        <w:rPr>
          <w:sz w:val="20"/>
          <w:szCs w:val="20"/>
          <w:color w:val="auto"/>
        </w:rPr>
      </w:pPr>
      <w:r>
        <w:rPr>
          <w:rFonts w:ascii="Times New Roman" w:cs="Times New Roman" w:eastAsia="Times New Roman" w:hAnsi="Times New Roman"/>
          <w:sz w:val="18"/>
          <w:szCs w:val="18"/>
          <w:color w:val="auto"/>
        </w:rPr>
        <w:t>As a result of our limited operating history, our ability to forecast our future operating results, including revenues, cash flows and profitability, is limited and subject to a number of uncertainties. We have encountered and will encounter risks and uncertainties frequently experienced by growing companies in the technology industry, such as the risks and uncertainties described in this Quarterly Report on Form 10-Q. If our assumptions regarding these risks and uncertainties are incorrect or change due to changes in our markets, or if we do not address these risks successfully, our operating and financial results may differ materially from our expectations and our business may suffer.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sustain profitability in the future.</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began operations in late 2011 and have experienced net losses since inception. We generated net losses attributable to nCino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 million, $(22.3) million, $(27.6) million, and $(19.4) million for the fiscal years ended January 31, 2018, 2019 and 2020, respectively and the six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July 31, 2020. We had an accumulated deficit of $140.1 million at July 31, 2020. We will need to generate and sustain increased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levels in future periods in order to become profitable, and, even if we do, we may not be able to maintain or increase our level of profitability. We intend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to expend significant resources to support further growth and extend the functionality of the nCino Bank Operating System, expand our sales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development headcount, increase our marketing activities and grow our international operations. We will also face increased costs associated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the expansion of our customer base and the costs of being a public company. Our efforts to grow our business may be more costly than we expect,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we may not be able to increase our revenues enough to offset our increased operating expenses. We expect to incur losses for the foreseeable future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invest in product development, and we cannot predict whether or when we will achieve or sustain profitability. If we are unable to achieve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sustain profitability, the value of our business and common stock may significantly decrease.</w:t>
      </w:r>
    </w:p>
    <w:p>
      <w:pPr>
        <w:spacing w:after="0" w:line="20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or continue to broaden our existing customers’ use of our solution, our revenue growth will be adversely affected.</w:t>
      </w:r>
    </w:p>
    <w:p>
      <w:pPr>
        <w:spacing w:after="0" w:line="159" w:lineRule="exact"/>
        <w:rPr>
          <w:sz w:val="20"/>
          <w:szCs w:val="20"/>
          <w:color w:val="auto"/>
        </w:rPr>
      </w:pPr>
    </w:p>
    <w:p>
      <w:pPr>
        <w:ind w:firstLine="881"/>
        <w:spacing w:after="0" w:line="258" w:lineRule="auto"/>
        <w:rPr>
          <w:sz w:val="20"/>
          <w:szCs w:val="20"/>
          <w:color w:val="auto"/>
        </w:rPr>
      </w:pPr>
      <w:r>
        <w:rPr>
          <w:rFonts w:ascii="Times New Roman" w:cs="Times New Roman" w:eastAsia="Times New Roman" w:hAnsi="Times New Roman"/>
          <w:sz w:val="18"/>
          <w:szCs w:val="18"/>
          <w:color w:val="auto"/>
        </w:rPr>
        <w:t>To increase our revenues, we will need to continue to attract new customers and succeed in having our current customers expand the use of our solution across their institution. For example, our revenue growth strategy includes increased penetration of markets outside the United States as well as selling our retail applications to existing and new customers, and failure in either respect would adversely affect our revenue growth. In addition, for us to maintain or improve our results of operations, it is important that our customers renew their subscriptions with us on the same or more favorable terms to us when their existing subscription term expires. Our revenue growth rates may decline or fluctuate as a result of a number of factors,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including customer spending levels, customer dissatisfaction with our solution, decreases in the number of users at our customers, changes in the type and size of our customers, pricing changes, competitive conditions, the loss of our customers to other companies and general economic conditions. Our customers may also require fewer subscriptions for our solution as its use may enable them to operate more efficiently over time. Therefore, we cannot assure you that our current customers will renew or expand their use of our solution. If we are unable to sign new customers or retain or attract new business from current customers, our business and results of operations may be materially and adversely affected.</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for cloud-based banking technology develops more slowly than we expect or changes in a way that we fail to anticipate, our sales would suffer and our results of operations would be adversely affected.</w:t>
      </w:r>
    </w:p>
    <w:p>
      <w:pPr>
        <w:spacing w:after="0" w:line="159" w:lineRule="exact"/>
        <w:rPr>
          <w:sz w:val="20"/>
          <w:szCs w:val="20"/>
          <w:color w:val="auto"/>
        </w:rPr>
      </w:pPr>
    </w:p>
    <w:p>
      <w:pPr>
        <w:ind w:right="20" w:firstLine="881"/>
        <w:spacing w:after="0" w:line="253" w:lineRule="auto"/>
        <w:rPr>
          <w:sz w:val="20"/>
          <w:szCs w:val="20"/>
          <w:color w:val="auto"/>
        </w:rPr>
      </w:pPr>
      <w:r>
        <w:rPr>
          <w:rFonts w:ascii="Times New Roman" w:cs="Times New Roman" w:eastAsia="Times New Roman" w:hAnsi="Times New Roman"/>
          <w:sz w:val="18"/>
          <w:szCs w:val="18"/>
          <w:color w:val="auto"/>
        </w:rPr>
        <w:t>Use of, and reliance on, cloud-based banking technology is still at an early stage and we do not know whether financial institutions will continue to adopt cloud-based banking technology such as the nCino Bank Operating System in the future, or whether the market will change in ways we do not anticipate. Many financial institutions have invested substantial personnel and financial resources in legacy software, and these institutions may be reluctant, unwilling or unable to convert from their existing systems to our solution. Furthermore, these financial institutions may be reluctant, unwilling or unable to use cloud-based banking technology due to various concerns such as the security of their data and reliability of the delivery model. These concerns or other considerations may cause financial institutions to choose not to adopt cloud-based banking technology such as ours or to adopt them more slowly than we anticipate, either of which would adversely affect us. Our future success also depends on our ability to sell additional applications and functionality, such as nIQ, to our current and prospective customers. As we create new applications and enhance our existing solution, these applications and enhancements may not be attractive to customers. In addition, promoting and selling new and enhanced functionality may require increasingly costly sales and marketing efforts, and if customers choose not to adopt this functionality our business and results of operations could suffer. If financial institutions are unwilling or unable to transition from their legacy systems, or if the demand for our solution does not meet our expectations, our results of operations and financial condition will be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sustain our revenue growth rate in the future.</w:t>
      </w:r>
    </w:p>
    <w:p>
      <w:pPr>
        <w:spacing w:after="0" w:line="229"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Our revenues increased from $58.1 million for fiscal 2018 to $91.5 million for fiscal 2019 to $138.2 million for fiscal 2020, and from $61.8 million for the six months ended July 31, 2019 to $93.5 million for the six months ended July 31, 2020. We may not be able to sustain revenue growth consistent with our recent history, if at all. Our revenue growth in recent periods may not be indicative of our future performance. Furthermore, to the extent we grow in future periods, maintaining consistent rates of revenue growth may be difficult. Our revenue growth may also slow or even reverse in future periods due to a number of factors, which may include slowing demand for our solution, increasing competition, decreasing growth of our overall market, the impact of COVID-19, our inability to attract and retain a sufficient number of financial institution customers, concerns over data security, our failure, for any reason, to capitalize on growth opportunities or general economic conditions. If we are unable to maintain consistent revenue growth, the price of our common stock could be volatile and it may be difficult for us to achieve and maintain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and may not fully reflect the underlying performance of our business.</w:t>
      </w:r>
    </w:p>
    <w:p>
      <w:pPr>
        <w:spacing w:after="0" w:line="229" w:lineRule="exact"/>
        <w:rPr>
          <w:sz w:val="20"/>
          <w:szCs w:val="20"/>
          <w:color w:val="auto"/>
        </w:rPr>
      </w:pPr>
    </w:p>
    <w:p>
      <w:pPr>
        <w:ind w:right="80" w:firstLine="881"/>
        <w:spacing w:after="0" w:line="254" w:lineRule="auto"/>
        <w:rPr>
          <w:sz w:val="20"/>
          <w:szCs w:val="20"/>
          <w:color w:val="auto"/>
        </w:rPr>
      </w:pPr>
      <w:r>
        <w:rPr>
          <w:rFonts w:ascii="Times New Roman" w:cs="Times New Roman" w:eastAsia="Times New Roman" w:hAnsi="Times New Roman"/>
          <w:sz w:val="18"/>
          <w:szCs w:val="18"/>
          <w:color w:val="auto"/>
        </w:rPr>
        <w:t>Our quarterly results of operations, including the levels of our revenues, gross margin, profitability, cash flow and deferred revenue, may vary significantly in the future and, accordingly, period-to-period comparisons of our results of operations may not be meaningful. Thus, the results of any one quarter should not be relied upon as an indication of future performance. Our quarterly financial results may fluctuate as a result of a variety of factors, many of which are outside of our control, and may not fully or accurately reflect the underlying performance of our business. For example, while subscriptions with our customers include multi-year non-cancellable terms, in a limited number of contracts, customers have an option to buy out of the contract for a specified termination fee. If such customers exercise this buy-out option, or if we negotiate an early termination of a contract at a customer’s request, any termination fee would be recognized in full at the time of termination, which would favorably affect subscription revenues in that period and unfavorably affect subscription revenues in subsequent periods. Fluctuation in quarterly results may negatively impact the value of our common stock. Factors that may cause fluctuations in our quarterly financial results include, without limitation, those listed below:</w:t>
      </w:r>
    </w:p>
    <w:p>
      <w:pPr>
        <w:spacing w:after="0" w:line="188"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current customers or attract new customers;</w:t>
      </w:r>
    </w:p>
    <w:p>
      <w:pPr>
        <w:spacing w:after="0" w:line="21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activation, delay in activation or cancellation of large blocks of users by customers;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recognition of professional services revenues;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our customers, to the extent the acquirer elects not to continue using our solution or reduces subscriptions to it;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 rates;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the number of users licensed or pricing changes upon renewals of customer contracts;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security breaches;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(particularly those affecting financial institutions);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variations in sales of our solution, which have historically been highest in the fourth quarter of our fiscal year;</w:t>
      </w:r>
    </w:p>
    <w:p>
      <w:pPr>
        <w:spacing w:after="0" w:line="225"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introductions by us or our competitors or any other change in the competitive dynamics of our industry, including consolidation among competitors, customers or strategic partners;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technologies or businesses and potential future charges for impairment of goodwill from acquired companies.</w:t>
      </w:r>
    </w:p>
    <w:p>
      <w:pPr>
        <w:spacing w:after="0" w:line="15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accurately predict the long-term rate of customer subscription renewals or adoption of our solution, or any resulting impact on our revenues or operating results.</w:t>
      </w:r>
    </w:p>
    <w:p>
      <w:pPr>
        <w:spacing w:after="0" w:line="159" w:lineRule="exact"/>
        <w:rPr>
          <w:sz w:val="20"/>
          <w:szCs w:val="20"/>
          <w:color w:val="auto"/>
        </w:rPr>
      </w:pPr>
    </w:p>
    <w:p>
      <w:pPr>
        <w:ind w:right="40" w:firstLine="881"/>
        <w:spacing w:after="0" w:line="256" w:lineRule="auto"/>
        <w:rPr>
          <w:sz w:val="20"/>
          <w:szCs w:val="20"/>
          <w:color w:val="auto"/>
        </w:rPr>
      </w:pPr>
      <w:r>
        <w:rPr>
          <w:rFonts w:ascii="Times New Roman" w:cs="Times New Roman" w:eastAsia="Times New Roman" w:hAnsi="Times New Roman"/>
          <w:sz w:val="18"/>
          <w:szCs w:val="18"/>
          <w:color w:val="auto"/>
        </w:rPr>
        <w:t>Our customers have no obligation to renew their subscriptions for our solution after the expiration of the initial or current subscription term, and our customers, if they choose to renew at all, may renew for fewer users or on less favorable pricing terms. Since the average initial term of our customer agreements is three to five years, and we only began selling our solution in 2012, we have limited historical data with respect to rates of customer subscription renewals and cannot be certain of anticipated renewal rates. Our renewal rates may decline or fluctuate as a result of a number of factors, including our customers’ satisfaction with our pricing or our solution or their ability to continue their operations or spending levels. If our customers do not renew their subscriptions for our solution on similar pricing terms, our revenues may decline and our business could suffer.</w:t>
      </w:r>
    </w:p>
    <w:p>
      <w:pPr>
        <w:spacing w:after="0" w:line="187" w:lineRule="exact"/>
        <w:rPr>
          <w:sz w:val="20"/>
          <w:szCs w:val="20"/>
          <w:color w:val="auto"/>
        </w:rPr>
      </w:pPr>
    </w:p>
    <w:p>
      <w:pPr>
        <w:jc w:val="both"/>
        <w:ind w:right="380" w:firstLine="881"/>
        <w:spacing w:after="0" w:line="261" w:lineRule="auto"/>
        <w:rPr>
          <w:sz w:val="20"/>
          <w:szCs w:val="20"/>
          <w:color w:val="auto"/>
        </w:rPr>
      </w:pPr>
      <w:r>
        <w:rPr>
          <w:rFonts w:ascii="Times New Roman" w:cs="Times New Roman" w:eastAsia="Times New Roman" w:hAnsi="Times New Roman"/>
          <w:sz w:val="18"/>
          <w:szCs w:val="18"/>
          <w:color w:val="auto"/>
        </w:rPr>
        <w:t>Additionally, as the markets for the nCino Bank Operating System develop, we may be unable to attract new customers based on the same subscription model that we have used historically. Moreover, large or influential financial institution customers may demand more favorable pricing or other contract terms from us. As a result, we may in the future be required to change our pricing model, reduce our prices or accept other unfavorable contract terms, any of which could adversely affect our revenues, gross margin, profitability, financial position and/or cash flow.</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breach of our security measures or those we rely on could result in unauthorized access to customer or their clients’ data, which may materially and adversely impact our reputation, business and results of operations.</w:t>
      </w:r>
    </w:p>
    <w:p>
      <w:pPr>
        <w:spacing w:after="0" w:line="159" w:lineRule="exact"/>
        <w:rPr>
          <w:sz w:val="20"/>
          <w:szCs w:val="20"/>
          <w:color w:val="auto"/>
        </w:rPr>
      </w:pPr>
    </w:p>
    <w:p>
      <w:pPr>
        <w:ind w:right="120" w:firstLine="881"/>
        <w:spacing w:after="0" w:line="254" w:lineRule="auto"/>
        <w:rPr>
          <w:sz w:val="20"/>
          <w:szCs w:val="20"/>
          <w:color w:val="auto"/>
        </w:rPr>
      </w:pPr>
      <w:r>
        <w:rPr>
          <w:rFonts w:ascii="Times New Roman" w:cs="Times New Roman" w:eastAsia="Times New Roman" w:hAnsi="Times New Roman"/>
          <w:sz w:val="18"/>
          <w:szCs w:val="18"/>
          <w:color w:val="auto"/>
        </w:rPr>
        <w:t>Certain elements of our solution, particularly our analytics applications, process and store personally identifiable information (“PII”) such as banking and personal information of our customers’ clients, and we may also have access to PII during various stages of the implementation process or during the course of providing customer support. Furthermore, as we develop additional functionality, we may gain greater access to PII. We maintain policies, procedures and technological safeguards designed to protect the confidentiality, integrity and availability of this information and our information technology systems. However, we cannot entirely eliminate the risk of improper or unauthorized access to or disclosure of PII or other security events that impact the integrity or availability of PII or our systems and operations, or the related costs we may incur to mitigate the consequences from such events. Further, the nCino Bank Operating System is a flexible and complex software solution and there is a risk that configurations of, or defects in, the solution or errors in implementation could create vulnerabilities to security breaches. There may be unlawful attempts to disrupt or gain access to our information technology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systems or the PII or other data of our customers or their clients that may disrupt our or our customers’ operations. In addition, because we leverage third-party providers, including cloud, software, data center and other critical technology vendors to deliver our solution to our customers and their clients, we rely heavily on the data security technology practices and policies adopted by these third-party providers. A vulnerability in a third-party provider’s software or systems, a failure of our third-party providers’ safeguards, policies or procedures, or a breach of a third-party provider’s software or systems could result in the compromise of the confidentiality, integrity or availability of our systems or the data housed in our solution.</w:t>
      </w:r>
    </w:p>
    <w:p>
      <w:pPr>
        <w:spacing w:after="0" w:line="183"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Cyberattacks and other malicious internet-based activity continue to increase and evolve, and cloud-based providers of products and services have been and are expected to continue to be targeted. In addition to traditional computer “hackers,” malicious code (such as viruses and worms), phishing, employee theft or misuse and denial-of-service attacks, sophisticated criminal networks as well as nation-state and nation-state supported actors now engage in attacks, including advanced persistent threat intrusions. Current or future criminal capabilities, discovery of existing or new vulnerabilities, and attempts to exploit those vulnerabilities or other developments, may compromise or breach our systems or solution. In the event our or our third-party providers’ protection efforts are unsuccessful and our systems or solution are compromised, we could suffer substantial harm. A security breach could result in operational disruptions, loss, compromise or corruption of customer or client data or data we rely on to provide our solution, including our analytics initiatives and offerings that impair our ability to provide our solution and meet our customers’ requirements resulting in decreased revenues and otherwise materially negatively impacting our financial results. Also, our reputation could suffer irreparable harm, causing our current and prospective customers to decline to use our solution in the future. Further, we could be forced to expend significant financial and operational resources in response to a security breach, including repairing system damage, increasing security protection costs by deploying additional personnel and protection technologies, and defending against and resolving legal and regulatory claims, all of which could be costly and divert resources and the attention of our management and key personnel away from our business operations.</w:t>
      </w:r>
    </w:p>
    <w:p>
      <w:pPr>
        <w:spacing w:after="0" w:line="187" w:lineRule="exact"/>
        <w:rPr>
          <w:sz w:val="20"/>
          <w:szCs w:val="20"/>
          <w:color w:val="auto"/>
        </w:rPr>
      </w:pPr>
    </w:p>
    <w:p>
      <w:pPr>
        <w:ind w:firstLine="881"/>
        <w:spacing w:after="0" w:line="256" w:lineRule="auto"/>
        <w:rPr>
          <w:sz w:val="20"/>
          <w:szCs w:val="20"/>
          <w:color w:val="auto"/>
        </w:rPr>
      </w:pPr>
      <w:r>
        <w:rPr>
          <w:rFonts w:ascii="Times New Roman" w:cs="Times New Roman" w:eastAsia="Times New Roman" w:hAnsi="Times New Roman"/>
          <w:sz w:val="18"/>
          <w:szCs w:val="18"/>
          <w:color w:val="auto"/>
        </w:rPr>
        <w:t>Federal and state regulations may require us or our customers to notify individuals of data security incidents involving certain types of personal data or information technology systems. Security compromises experienced by others in our industry, our customers or us may lead to public disclosures and widespread negative publicity. Any security compromise in our industry, whether actual or perceived, could erode customer confidence in the effectiveness of our security measures, negatively impact our ability to attract new customers, cause existing customers to elect not to renew or expand their use of our solution or subject us to third-party lawsuits, regulatory fines or other actions or liabilities, which could materially and adversely affect our business and results of operations.</w:t>
      </w:r>
    </w:p>
    <w:p>
      <w:pPr>
        <w:spacing w:after="0" w:line="187" w:lineRule="exact"/>
        <w:rPr>
          <w:sz w:val="20"/>
          <w:szCs w:val="20"/>
          <w:color w:val="auto"/>
        </w:rPr>
      </w:pPr>
    </w:p>
    <w:p>
      <w:pPr>
        <w:ind w:right="20" w:firstLine="881"/>
        <w:spacing w:after="0" w:line="253" w:lineRule="auto"/>
        <w:rPr>
          <w:sz w:val="20"/>
          <w:szCs w:val="20"/>
          <w:color w:val="auto"/>
        </w:rPr>
      </w:pPr>
      <w:r>
        <w:rPr>
          <w:rFonts w:ascii="Times New Roman" w:cs="Times New Roman" w:eastAsia="Times New Roman" w:hAnsi="Times New Roman"/>
          <w:sz w:val="18"/>
          <w:szCs w:val="18"/>
          <w:color w:val="auto"/>
        </w:rPr>
        <w:t>In addition, some of our customers contractually require notification of data security compromises and include representations and warranties in their contracts with us that our solution complies with certain legal and technical standards related to data security and privacy and meets certain service levels. In certain of our contracts, a data security compromise or operational disruption impacting us or one of our critical vendors, or system unavailability or damage due to other circumstances, may constitute a material breach and give rise to a customer’s right to terminate their contract with us. In these circumstances, it may be difficult or impossible to cure such a breach in order to prevent customers from potentially terminating their contracts with us. Furthermore, although our customer contracts typically include limitations on our potential liability, there can be no assurance that such limitations of liability would be adequate. We also cannot be sure that our existing general liability insurance coverage and coverage for errors or omissions will be available on acceptable terms or will be available in sufficient amounts to cover one or more claims, or that our insurers will not deny or attempt to deny coverage as to any future claim. The successful assertion of one or more claims against us, the inadequacy or denial of coverage under our insurance policies, litigation to pursue claims under our policies or the occurrence of changes in our insurance policies, including premium increases or the imposition of large deductible or coinsurance requirements, could materially and adversely affect our business and results of operations.</w:t>
      </w:r>
    </w:p>
    <w:p>
      <w:pPr>
        <w:spacing w:after="0" w:line="18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Fundamental elements of the nCino Bank Operating System are built on the Salesforce Platform and we rely on our agreement with Salesforce to provide our solution to our customers.</w:t>
      </w:r>
    </w:p>
    <w:p>
      <w:pPr>
        <w:spacing w:after="0" w:line="159" w:lineRule="exact"/>
        <w:rPr>
          <w:sz w:val="20"/>
          <w:szCs w:val="20"/>
          <w:color w:val="auto"/>
        </w:rPr>
      </w:pPr>
    </w:p>
    <w:p>
      <w:pPr>
        <w:ind w:right="260" w:firstLine="881"/>
        <w:spacing w:after="0" w:line="261" w:lineRule="auto"/>
        <w:rPr>
          <w:sz w:val="20"/>
          <w:szCs w:val="20"/>
          <w:color w:val="auto"/>
        </w:rPr>
      </w:pPr>
      <w:r>
        <w:rPr>
          <w:rFonts w:ascii="Times New Roman" w:cs="Times New Roman" w:eastAsia="Times New Roman" w:hAnsi="Times New Roman"/>
          <w:sz w:val="18"/>
          <w:szCs w:val="18"/>
          <w:color w:val="auto"/>
        </w:rPr>
        <w:t>Fundamental elements of the nCino Bank Operating System, including our client onboarding, loan origination and deposit account opening applications, are built on the Salesforce Platform and we rely on our agreement with Salesforce to use the Salesforce Platform in conjunction with our solution, including for hosting infrastructure and data center operations. Any termination of our relationship with Salesforce would result in a materially adverse impact on our business model.</w:t>
      </w:r>
    </w:p>
    <w:p>
      <w:pPr>
        <w:spacing w:after="0" w:line="180" w:lineRule="exact"/>
        <w:rPr>
          <w:sz w:val="20"/>
          <w:szCs w:val="20"/>
          <w:color w:val="auto"/>
        </w:rPr>
      </w:pPr>
    </w:p>
    <w:p>
      <w:pPr>
        <w:ind w:right="40" w:firstLine="881"/>
        <w:spacing w:after="0" w:line="261" w:lineRule="auto"/>
        <w:rPr>
          <w:sz w:val="20"/>
          <w:szCs w:val="20"/>
          <w:color w:val="auto"/>
        </w:rPr>
      </w:pPr>
      <w:r>
        <w:rPr>
          <w:rFonts w:ascii="Times New Roman" w:cs="Times New Roman" w:eastAsia="Times New Roman" w:hAnsi="Times New Roman"/>
          <w:sz w:val="18"/>
          <w:szCs w:val="18"/>
          <w:color w:val="auto"/>
        </w:rPr>
        <w:t>Our agreement with Salesforce (the “Salesforce Agreement”) expires on June 19, 2027, unless earlier terminated by either party in the event of the other party’s material breach, bankruptcy, change in control in favor of a direct competitor, or intellectual property infringement, and automatically renews for additional one-year periods thereafter unless notice of non-renewal is provided. If we are unable to renew our agreement with Salesforce, there would be, absent a termination for cause, a</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wind-down period during which existing customers would be able to continue using the nCino Bank Operating System in conjunction with the Salesforce Platform, but we would be unable to provide our solution to new customers and could be limited in our ability to allow current customers to add additional users. In addition, if we are unable to renew our agreement with Salesforce, our customers would need to obtain a separate subscription from Salesforce in order to access the nCino Bank Operating System. This could cause a significant delay in the time required to enter into agreements with customers, place us and our customers at a disadvantage in negotiating with Salesforce, and lead customers not to renew or enter into agreements with us. We also cannot assure you that the pricing or other terms in any renewal with Salesforce would be favorable to us, and if not, our business and operating results may be materially and adversely affected.</w:t>
      </w:r>
    </w:p>
    <w:p>
      <w:pPr>
        <w:spacing w:after="0" w:line="189" w:lineRule="exact"/>
        <w:rPr>
          <w:sz w:val="20"/>
          <w:szCs w:val="20"/>
          <w:color w:val="auto"/>
        </w:rPr>
      </w:pPr>
    </w:p>
    <w:p>
      <w:pPr>
        <w:ind w:right="160" w:firstLine="881"/>
        <w:spacing w:after="0" w:line="261" w:lineRule="auto"/>
        <w:rPr>
          <w:sz w:val="20"/>
          <w:szCs w:val="20"/>
          <w:color w:val="auto"/>
        </w:rPr>
      </w:pPr>
      <w:r>
        <w:rPr>
          <w:rFonts w:ascii="Times New Roman" w:cs="Times New Roman" w:eastAsia="Times New Roman" w:hAnsi="Times New Roman"/>
          <w:sz w:val="18"/>
          <w:szCs w:val="18"/>
          <w:color w:val="auto"/>
        </w:rPr>
        <w:t>In addition, Salesforce has the right to terminate its agreement with us in certain circumstances, including in the event of a material breach of the agreement by us. If Salesforce terminates our agreement for cause, it would not be required to provide the wind-down period described above. We are also required to indemnify Salesforce for claims made against Salesforce by a third party alleging that the nCino Bank Operating System infringes the intellectual property rights of such third party.</w:t>
      </w:r>
    </w:p>
    <w:p>
      <w:pPr>
        <w:spacing w:after="0" w:line="180" w:lineRule="exact"/>
        <w:rPr>
          <w:sz w:val="20"/>
          <w:szCs w:val="20"/>
          <w:color w:val="auto"/>
        </w:rPr>
      </w:pPr>
    </w:p>
    <w:p>
      <w:pPr>
        <w:ind w:right="200" w:firstLine="881"/>
        <w:spacing w:after="0" w:line="258" w:lineRule="auto"/>
        <w:rPr>
          <w:sz w:val="20"/>
          <w:szCs w:val="20"/>
          <w:color w:val="auto"/>
        </w:rPr>
      </w:pPr>
      <w:r>
        <w:rPr>
          <w:rFonts w:ascii="Times New Roman" w:cs="Times New Roman" w:eastAsia="Times New Roman" w:hAnsi="Times New Roman"/>
          <w:sz w:val="18"/>
          <w:szCs w:val="18"/>
          <w:color w:val="auto"/>
        </w:rPr>
        <w:t>An expiration or termination of our agreement with Salesforce would cause us to incur significant time and expense to acquire rights to, or develop, a replacement solution and we may not be successful in these efforts, which could cause the nCino Bank Operating System to become obsolete. Even if we were to successfully acquire or develop a replacement solution, some customers may decide not to adopt the solution and may, as a result, decide to use a different product. If we were unsuccessful in acquiring or developing a replacement solution or acquire or develop a replacement solution that our customers do not adopt, our business, results of operations and brand would be materially and adversely affected.</w:t>
      </w:r>
    </w:p>
    <w:p>
      <w:pPr>
        <w:spacing w:after="0" w:line="183" w:lineRule="exact"/>
        <w:rPr>
          <w:sz w:val="20"/>
          <w:szCs w:val="20"/>
          <w:color w:val="auto"/>
        </w:rPr>
      </w:pPr>
    </w:p>
    <w:p>
      <w:pPr>
        <w:ind w:right="100" w:firstLine="881"/>
        <w:spacing w:after="0" w:line="266" w:lineRule="auto"/>
        <w:rPr>
          <w:sz w:val="20"/>
          <w:szCs w:val="20"/>
          <w:color w:val="auto"/>
        </w:rPr>
      </w:pPr>
      <w:r>
        <w:rPr>
          <w:rFonts w:ascii="Times New Roman" w:cs="Times New Roman" w:eastAsia="Times New Roman" w:hAnsi="Times New Roman"/>
          <w:sz w:val="18"/>
          <w:szCs w:val="18"/>
          <w:color w:val="auto"/>
        </w:rPr>
        <w:t>Furthermore, there are no exclusivity arrangements in place with Salesforce that would prevent them from developing their own offerings that compete directly with ours, acquiring a company with offerings similar to ours, or investing greater resources in our competitors. While we believe our relationship with Salesforce is strong, Salesforce competing with us could materially and adversely affect our business and results of operations.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and data security concerns, data collection and transfer restrictions and related domestic or foreign regulations may limit the use and adoption of the nCino Bank Operating System and adversely affect our business and results of operations.</w:t>
      </w:r>
    </w:p>
    <w:p>
      <w:pPr>
        <w:spacing w:after="0" w:line="159" w:lineRule="exact"/>
        <w:rPr>
          <w:sz w:val="20"/>
          <w:szCs w:val="20"/>
          <w:color w:val="auto"/>
        </w:rPr>
      </w:pPr>
    </w:p>
    <w:p>
      <w:pPr>
        <w:ind w:firstLine="881"/>
        <w:spacing w:after="0" w:line="261" w:lineRule="auto"/>
        <w:rPr>
          <w:sz w:val="20"/>
          <w:szCs w:val="20"/>
          <w:color w:val="auto"/>
        </w:rPr>
      </w:pPr>
      <w:r>
        <w:rPr>
          <w:rFonts w:ascii="Times New Roman" w:cs="Times New Roman" w:eastAsia="Times New Roman" w:hAnsi="Times New Roman"/>
          <w:sz w:val="18"/>
          <w:szCs w:val="18"/>
          <w:color w:val="auto"/>
        </w:rPr>
        <w:t>Personal privacy, information security, and data protection are significant issues in the United States, the European Union (“EU”) and a number of other jurisdictions where we offer the nCino Bank Operating System. The regulatory framework governing the collection, processing, storage and use of certain information, particularly financial and other PII, is rapidly evolving. Any failure or perceived failure by us to comply with applicable privacy, security or data protection laws, regulations or industry standards may materially and adversely affect our business and results of operations.</w:t>
      </w:r>
    </w:p>
    <w:p>
      <w:pPr>
        <w:spacing w:after="0" w:line="180" w:lineRule="exact"/>
        <w:rPr>
          <w:sz w:val="20"/>
          <w:szCs w:val="20"/>
          <w:color w:val="auto"/>
        </w:rPr>
      </w:pPr>
    </w:p>
    <w:p>
      <w:pPr>
        <w:ind w:firstLine="881"/>
        <w:spacing w:after="0" w:line="252" w:lineRule="auto"/>
        <w:rPr>
          <w:sz w:val="20"/>
          <w:szCs w:val="20"/>
          <w:color w:val="auto"/>
        </w:rPr>
      </w:pPr>
      <w:r>
        <w:rPr>
          <w:rFonts w:ascii="Times New Roman" w:cs="Times New Roman" w:eastAsia="Times New Roman" w:hAnsi="Times New Roman"/>
          <w:sz w:val="18"/>
          <w:szCs w:val="18"/>
          <w:color w:val="auto"/>
        </w:rPr>
        <w:t>We expect that there will continue to be new proposed and adopted laws, regulations and industry standards concerning privacy, data protection and information security in the United States, the EU and other jurisdictions in which we operate. For example, California enacted the CCPA which went into effect in January 2020 and, among other things, requires companies covered by the legislation to provide new disclosures to California consumers and afford such consumers new rights of access and deletion for personal information, as well as the right to opt-out of certain sales of personal information. The CCPA was enacted in June 2018, amended in September 2018, amended again in September 2019, and several bills to amend the CCPA further are pending. Draft regulations were issued in October 2019 and revised several times before a final version was submitted and approved in July 2020. Additionally, a referendum called the California Privacy Rights Act will be on the California ballot in November 2020 and may replace the CCPA and further expand upon consumer data privacy rights. It remains unclear what, if any, modifications will be made to the CCPA or how those modifications will be interpreted or enforced. The CCPA or similar legislation may require us to modify our practices and policies and incur substantial costs and expenses in an effort to comply or respond to further changes to laws or regulations. Similarly, the European Commission adopted the GDPR, which became fully effective on May 25, 2018, and imposes similarly complex and stringent data protection requirements with regard to the processing of EU PII. Violations of the GDPR carry penalties of up to 4% of gross annual turnover. In July 2020, the Court of Justice of the European Union (“CJEU”) issued a decision that invalidated the EU-U.S. Privacy Shield Framework as set forth by the U.S. Department of Commerce that provided one basis for the transfer of personal data from the European Union to the United States under the GDPR. The CJEU decision also requires additional safeguards be considered for the use of standard contractual clauses. nCino participates in and has certified to the EU-U.S. Privacy Shield Framework. Additional GDPR interpretations and guidance have been and may continue to be issued related to the recent CJEU decision, as well as with regard to the GDPR and other European data protection requirements, including the ePrivacy Directive. These evolving legal and regulatory requirements may require us to modify our practices and policies and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 substantial costs and expenses in an effort to comply or to adjust to changes in the law or EU member state implementing legislation.</w:t>
      </w:r>
    </w:p>
    <w:p>
      <w:pPr>
        <w:spacing w:after="0" w:line="225" w:lineRule="exact"/>
        <w:rPr>
          <w:sz w:val="20"/>
          <w:szCs w:val="20"/>
          <w:color w:val="auto"/>
        </w:rPr>
      </w:pPr>
    </w:p>
    <w:p>
      <w:pPr>
        <w:ind w:right="240" w:firstLine="881"/>
        <w:spacing w:after="0" w:line="258" w:lineRule="auto"/>
        <w:rPr>
          <w:sz w:val="20"/>
          <w:szCs w:val="20"/>
          <w:color w:val="auto"/>
        </w:rPr>
      </w:pPr>
      <w:r>
        <w:rPr>
          <w:rFonts w:ascii="Times New Roman" w:cs="Times New Roman" w:eastAsia="Times New Roman" w:hAnsi="Times New Roman"/>
          <w:sz w:val="18"/>
          <w:szCs w:val="18"/>
          <w:color w:val="auto"/>
        </w:rPr>
        <w:t>We cannot yet fully determine the impact these or future laws, rules and regulations may have on our business or operations. Any such laws, rules and regulations may be inconsistent among different jurisdictions, subject to differing interpretations or may conflict with our current or future practices. Additionally, we may be bound by contractual requirements applicable to our collection, use, processing and disclosure of various types of information including financial and PII, and may be bound by, or voluntarily comply with, self-regulatory or other industry standards relating to these matters that may further change as laws, rules and regulations evolve.</w:t>
      </w:r>
    </w:p>
    <w:p>
      <w:pPr>
        <w:spacing w:after="0" w:line="183" w:lineRule="exact"/>
        <w:rPr>
          <w:sz w:val="20"/>
          <w:szCs w:val="20"/>
          <w:color w:val="auto"/>
        </w:rPr>
      </w:pPr>
    </w:p>
    <w:p>
      <w:pPr>
        <w:ind w:firstLine="881"/>
        <w:spacing w:after="0" w:line="258" w:lineRule="auto"/>
        <w:rPr>
          <w:sz w:val="20"/>
          <w:szCs w:val="20"/>
          <w:color w:val="auto"/>
        </w:rPr>
      </w:pPr>
      <w:r>
        <w:rPr>
          <w:rFonts w:ascii="Times New Roman" w:cs="Times New Roman" w:eastAsia="Times New Roman" w:hAnsi="Times New Roman"/>
          <w:sz w:val="18"/>
          <w:szCs w:val="18"/>
          <w:color w:val="auto"/>
        </w:rPr>
        <w:t>Any failure or perceived failure by us, or any third parties with which we do business, to comply with these laws, rules and regulations, or with other obligations to which we or such third parties are or may become subject, may result in actions or other claims against us by governmental entities or private actors, the expenditure of substantial costs, time and other resources or the incurrence of fines, penalties or other liabilities. In addition, any such action, particularly to the extent we were found to be guilty of violations or otherwise liable for damages, would damage our reputation and adversely affect our business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or weakened economic conditions, including as a result of COVID-19, may adversely affect our industry, business and results of operations.</w:t>
      </w:r>
    </w:p>
    <w:p>
      <w:pPr>
        <w:spacing w:after="0" w:line="229" w:lineRule="exact"/>
        <w:rPr>
          <w:sz w:val="20"/>
          <w:szCs w:val="20"/>
          <w:color w:val="auto"/>
        </w:rPr>
      </w:pPr>
    </w:p>
    <w:p>
      <w:pPr>
        <w:ind w:right="100" w:firstLine="881"/>
        <w:spacing w:after="0" w:line="254" w:lineRule="auto"/>
        <w:rPr>
          <w:sz w:val="20"/>
          <w:szCs w:val="20"/>
          <w:color w:val="auto"/>
        </w:rPr>
      </w:pPr>
      <w:r>
        <w:rPr>
          <w:rFonts w:ascii="Times New Roman" w:cs="Times New Roman" w:eastAsia="Times New Roman" w:hAnsi="Times New Roman"/>
          <w:sz w:val="18"/>
          <w:szCs w:val="18"/>
          <w:color w:val="auto"/>
        </w:rPr>
        <w:t>Our overall performance depends on economic conditions, which may be challenging at various times in the future. Financial developments seemingly unrelated to us or our industry may adversely affect us. Domestic and international economies have from time-to-time been impacted by falling demand for a variety of goods and services, tariffs and other trade issues, threatened sovereign defaults and ratings downgrades, restricted credit, threats to major multinational companies, poor liquidity, reduced corporate profitability, volatility in credit, equity and foreign exchange markets, bankruptcies and overall uncertainty. For example, COVID-19 has created and may continue to create significant uncertainty in global financial markets and the long-term economic impact of COVID-19 is highly uncertain. We cannot predict the timing, strength or duration of the current or any future potential economic slowdown in the United States or globally. These conditions affect the rate of technology spending generally and could adversely affect our customers’ ability or willingness to purchase the nCino Bank Operating System, delay prospective customers’ purchasing decisions, reduce the value or duration of their subscriptions or affect renewal rates, any of which could adversely affect our results of operations.</w:t>
      </w:r>
    </w:p>
    <w:p>
      <w:pPr>
        <w:spacing w:after="0" w:line="1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subscription revenues over the term of the contract, downturns or upturns in our business may not be reflected in our results of operations until future periods.</w:t>
      </w:r>
    </w:p>
    <w:p>
      <w:pPr>
        <w:spacing w:after="0" w:line="159" w:lineRule="exact"/>
        <w:rPr>
          <w:sz w:val="20"/>
          <w:szCs w:val="20"/>
          <w:color w:val="auto"/>
        </w:rPr>
      </w:pPr>
    </w:p>
    <w:p>
      <w:pPr>
        <w:ind w:right="80" w:firstLine="881"/>
        <w:spacing w:after="0" w:line="258" w:lineRule="auto"/>
        <w:rPr>
          <w:sz w:val="20"/>
          <w:szCs w:val="20"/>
          <w:color w:val="auto"/>
        </w:rPr>
      </w:pPr>
      <w:r>
        <w:rPr>
          <w:rFonts w:ascii="Times New Roman" w:cs="Times New Roman" w:eastAsia="Times New Roman" w:hAnsi="Times New Roman"/>
          <w:sz w:val="18"/>
          <w:szCs w:val="18"/>
          <w:color w:val="auto"/>
        </w:rPr>
        <w:t>We generally recognize subscription revenues ratably over the terms of our customer contracts, which typically range from three to five years. Most of the subscription revenues we report each quarter are derived from the recognition of deferred revenue relating to subscriptions activated in previous quarters. Consequently, a reduction in activated subscriptions in any single quarter may only have a small impact on our revenues for that quarter. However, such a decline will negatively affect our revenues in future quarters. Accordingly, the effect of significant downturns in sales or market acceptance of our solution may not be reflected in our results of operations until future periods.</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it as we grow, we could lose the innovation, creativity and teamwork fostered by our culture, and our business may be adversely affected.</w:t>
      </w:r>
    </w:p>
    <w:p>
      <w:pPr>
        <w:spacing w:after="0" w:line="159" w:lineRule="exact"/>
        <w:rPr>
          <w:sz w:val="20"/>
          <w:szCs w:val="20"/>
          <w:color w:val="auto"/>
        </w:rPr>
      </w:pPr>
    </w:p>
    <w:p>
      <w:pPr>
        <w:ind w:right="120" w:firstLine="881"/>
        <w:spacing w:after="0" w:line="261" w:lineRule="auto"/>
        <w:rPr>
          <w:sz w:val="20"/>
          <w:szCs w:val="20"/>
          <w:color w:val="auto"/>
        </w:rPr>
      </w:pPr>
      <w:r>
        <w:rPr>
          <w:rFonts w:ascii="Times New Roman" w:cs="Times New Roman" w:eastAsia="Times New Roman" w:hAnsi="Times New Roman"/>
          <w:sz w:val="18"/>
          <w:szCs w:val="18"/>
          <w:color w:val="auto"/>
        </w:rPr>
        <w:t>We believe our corporate culture is one of our fundamental strengths, as we believe it enables us to attract and retain top talent and deliver superior results for our customers. As we grow, we may find it difficult to preserve our corporate culture, which could reduce our ability to innovate and operate effectively. In turn, the failure to preserve our culture could negatively affect our ability to attract, recruit, integrate and retain employees, continue to perform at current levels and effectively execute our business strategy.</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all of our revenues from customers in the financial services industry, and any downturn or consolidation or decrease in technology spend in the financial services industry could adversely affect our business.</w:t>
      </w:r>
    </w:p>
    <w:p>
      <w:pPr>
        <w:spacing w:after="0" w:line="159" w:lineRule="exact"/>
        <w:rPr>
          <w:sz w:val="20"/>
          <w:szCs w:val="20"/>
          <w:color w:val="auto"/>
        </w:rPr>
      </w:pPr>
    </w:p>
    <w:p>
      <w:pPr>
        <w:ind w:right="80" w:firstLine="881"/>
        <w:spacing w:after="0" w:line="261" w:lineRule="auto"/>
        <w:rPr>
          <w:sz w:val="20"/>
          <w:szCs w:val="20"/>
          <w:color w:val="auto"/>
        </w:rPr>
      </w:pPr>
      <w:r>
        <w:rPr>
          <w:rFonts w:ascii="Times New Roman" w:cs="Times New Roman" w:eastAsia="Times New Roman" w:hAnsi="Times New Roman"/>
          <w:sz w:val="18"/>
          <w:szCs w:val="18"/>
          <w:color w:val="auto"/>
        </w:rPr>
        <w:t>All of our revenues are derived from financial institutions whose industry has experienced significant pressure in recent years due to economic uncertainty, low interest rates, liquidity concerns and increased regulation. In the past, financial institutions have experienced consolidation, distress and failure. It is possible these conditions may reoccur. If any of our customers merge with or are acquired by other entities, such as financial institutions that have internally developed banking</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technology solutions or that are not our customers or use our solution less, we may lose business. Additionally, changes in management of our customers could result in delays or cancellations of the implementation of our solution. It is also possible that the larger financial institutions that result from business combinations could have greater leverage in negotiating price or other terms with us or could decide to replace some or all of the elements of our solution. Our business may also be materially and adversely affected by weak economic conditions in the financial services industry. Any downturn in the financial services industry may cause our customers to reduce their spending on technology or cloud-based banking technology or to seek to terminate or renegotiate their contracts with us. Moreover, even if the overall economy is robust, economic fluctuations caused by things such as the U.S. Federal Reserve lowering interest rates may cause potential new customers and existing customers to become less profitable and therefore forego or delay purchasing our solution or reduce the amount of spend with us, which would materially and adversely affect our business.</w:t>
      </w:r>
    </w:p>
    <w:p>
      <w:pPr>
        <w:spacing w:after="0" w:line="18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intensely competitive and highly fragmented, and pricing pressure, new technologies or other competitive dynamics could adversely affect our business and results of operations.</w:t>
      </w:r>
    </w:p>
    <w:p>
      <w:pPr>
        <w:spacing w:after="0" w:line="159" w:lineRule="exact"/>
        <w:rPr>
          <w:sz w:val="20"/>
          <w:szCs w:val="20"/>
          <w:color w:val="auto"/>
        </w:rPr>
      </w:pPr>
    </w:p>
    <w:p>
      <w:pPr>
        <w:jc w:val="both"/>
        <w:ind w:right="40" w:firstLine="881"/>
        <w:spacing w:after="0" w:line="258" w:lineRule="auto"/>
        <w:rPr>
          <w:sz w:val="20"/>
          <w:szCs w:val="20"/>
          <w:color w:val="auto"/>
        </w:rPr>
      </w:pPr>
      <w:r>
        <w:rPr>
          <w:rFonts w:ascii="Times New Roman" w:cs="Times New Roman" w:eastAsia="Times New Roman" w:hAnsi="Times New Roman"/>
          <w:sz w:val="18"/>
          <w:szCs w:val="18"/>
          <w:color w:val="auto"/>
        </w:rPr>
        <w:t>We currently compete with providers of technology and services in the financial services industry, primarily point solution vendors that focus on building functionality that competes with specific components of the nCino Bank Operating System. From time to time, we also compete with systems internally developed by financial institutions. Many of our competitors have significantly more financial, technical, marketing and other resources than we have, may devote greater resources to the development, promotion, sale and support of their systems than we can, have more extensive customer bases and broader customer relationships than we have and have longer operating histories and greater name recognition than we do.</w:t>
      </w:r>
    </w:p>
    <w:p>
      <w:pPr>
        <w:spacing w:after="0" w:line="183" w:lineRule="exact"/>
        <w:rPr>
          <w:sz w:val="20"/>
          <w:szCs w:val="20"/>
          <w:color w:val="auto"/>
        </w:rPr>
      </w:pPr>
    </w:p>
    <w:p>
      <w:pPr>
        <w:ind w:right="160" w:firstLine="881"/>
        <w:spacing w:after="0" w:line="258" w:lineRule="auto"/>
        <w:rPr>
          <w:sz w:val="20"/>
          <w:szCs w:val="20"/>
          <w:color w:val="auto"/>
        </w:rPr>
      </w:pPr>
      <w:r>
        <w:rPr>
          <w:rFonts w:ascii="Times New Roman" w:cs="Times New Roman" w:eastAsia="Times New Roman" w:hAnsi="Times New Roman"/>
          <w:sz w:val="18"/>
          <w:szCs w:val="18"/>
          <w:color w:val="auto"/>
        </w:rPr>
        <w:t>We may also face competition from new companies entering our markets, which may include large established businesses that decide to develop, market or resell cloud-based banking technology, acquire one of our competitors or form a strategic alliance with one of our competitors or with Salesforce. In addition, new companies entering our markets may choose to offer cloud-based banking applications at little or no additional cost to the customer by bundling them with their existing applications, including adjacent banking technologies. Competition from these new entrants may make attracting new customers and retaining our current customers more difficult, which may adversely affect our results of operations.</w:t>
      </w:r>
    </w:p>
    <w:p>
      <w:pPr>
        <w:spacing w:after="0" w:line="183" w:lineRule="exact"/>
        <w:rPr>
          <w:sz w:val="20"/>
          <w:szCs w:val="20"/>
          <w:color w:val="auto"/>
        </w:rPr>
      </w:pPr>
    </w:p>
    <w:p>
      <w:pPr>
        <w:ind w:right="220" w:firstLine="881"/>
        <w:spacing w:after="0" w:line="266" w:lineRule="auto"/>
        <w:rPr>
          <w:sz w:val="20"/>
          <w:szCs w:val="20"/>
          <w:color w:val="auto"/>
        </w:rPr>
      </w:pPr>
      <w:r>
        <w:rPr>
          <w:rFonts w:ascii="Times New Roman" w:cs="Times New Roman" w:eastAsia="Times New Roman" w:hAnsi="Times New Roman"/>
          <w:sz w:val="18"/>
          <w:szCs w:val="18"/>
          <w:color w:val="auto"/>
        </w:rPr>
        <w:t>If we are unable to compete in this environment, sales and renewals of the nCino Bank Operating System could decline and adversely affect our business and results of operations. With the introduction of new technologies and potential new entrants into the cloud-based banking technology market, we expect competition to intensify in the future, which could harm our ability to increase sales and achieve profitability.</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data centers operated by or on behalf of Salesforce and other third parties, and any disruption in the operation of these facilities could adversely affect our business and subject us to liability.</w:t>
      </w:r>
    </w:p>
    <w:p>
      <w:pPr>
        <w:spacing w:after="0" w:line="159" w:lineRule="exact"/>
        <w:rPr>
          <w:sz w:val="20"/>
          <w:szCs w:val="20"/>
          <w:color w:val="auto"/>
        </w:rPr>
      </w:pPr>
    </w:p>
    <w:p>
      <w:pPr>
        <w:ind w:right="100" w:firstLine="881"/>
        <w:spacing w:after="0" w:line="261" w:lineRule="auto"/>
        <w:rPr>
          <w:sz w:val="20"/>
          <w:szCs w:val="20"/>
          <w:color w:val="auto"/>
        </w:rPr>
      </w:pPr>
      <w:r>
        <w:rPr>
          <w:rFonts w:ascii="Times New Roman" w:cs="Times New Roman" w:eastAsia="Times New Roman" w:hAnsi="Times New Roman"/>
          <w:sz w:val="18"/>
          <w:szCs w:val="18"/>
          <w:color w:val="auto"/>
        </w:rPr>
        <w:t>The nCino Bank Operating System is primarily hosted in data centers operated by or on behalf of Salesforce and other third parties and we do not control the operation of these data centers. Problems associated with these data centers could adversely affect the experience of our customers. Any disruptions or other operational performance problems with these data centers could result in material interruptions in our services, adversely affect our reputation and results of operations and subject us to liability.</w:t>
      </w:r>
    </w:p>
    <w:p>
      <w:pPr>
        <w:spacing w:after="0" w:line="17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implementation challenges, including in situations in which we rely on SIs, which would materially and adversely affect our business and results of operations.</w:t>
      </w:r>
    </w:p>
    <w:p>
      <w:pPr>
        <w:spacing w:after="0" w:line="159" w:lineRule="exact"/>
        <w:rPr>
          <w:sz w:val="20"/>
          <w:szCs w:val="20"/>
          <w:color w:val="auto"/>
        </w:rPr>
      </w:pPr>
    </w:p>
    <w:p>
      <w:pPr>
        <w:ind w:right="20" w:firstLine="881"/>
        <w:spacing w:after="0" w:line="253" w:lineRule="auto"/>
        <w:rPr>
          <w:sz w:val="20"/>
          <w:szCs w:val="20"/>
          <w:color w:val="auto"/>
        </w:rPr>
      </w:pPr>
      <w:r>
        <w:rPr>
          <w:rFonts w:ascii="Times New Roman" w:cs="Times New Roman" w:eastAsia="Times New Roman" w:hAnsi="Times New Roman"/>
          <w:sz w:val="18"/>
          <w:szCs w:val="18"/>
          <w:color w:val="auto"/>
        </w:rPr>
        <w:t>We may face unexpected challenges related to the complexity of our customers’ implementation and configuration requirements. Implementation of our solution may be delayed or expenses may increase when customers have unexpected data, software or technology challenges, or unanticipated business requirements, which could adversely affect our relationship with customers and our operating results. In general, the revenues related to implementation and other professional services we provide are recognized on a proportional performance basis, and delays and difficulties in these engagements could result in losses on these contracts. In addition, our customers often require complex acceptance testing related to the implementation of our solution. We also leverage the services of SIs, including Accenture, Deloitte, PwC and West Monroe Partners, among others, to implement and configure the nCino Bank Operating System for our larger financial institution customers, and we are increasingly using other SIs for smaller engagements as we continue to scale our business. While SIs generally contract directly with our customers, any failure or delay by the SIs we work with in providing adequate service and support would likely adversely affect our brand and reputation. For implementations we conduct ourselves, project delays may result in recognizing revenues later than expected. Further, because we do not fully control our customers’ implementation schedules, if our customers do not allocate the internal resources necessary to meet implementation timelines or if there are unanticipated</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implementation delays or difficulties, our ability to take customers live and the overall customer experience could be adversely affected. We rely on existing customers to act as references for prospective customers, and difficulties in implementation and configuration could therefore adversely affect our ability to attract new customers. Any difficulties or delays in implementation processes could cause customers to delay or forego future purchases of our solution.</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and if we fail to manage our growth effectively, we may be unable to execute our business plan, maintain high levels of service and customer satisfaction or adequately address competitive challenges, any of which may materially and adversely affect our business and results of operations.</w:t>
      </w:r>
    </w:p>
    <w:p>
      <w:pPr>
        <w:spacing w:after="0" w:line="175" w:lineRule="exact"/>
        <w:rPr>
          <w:sz w:val="20"/>
          <w:szCs w:val="20"/>
          <w:color w:val="auto"/>
        </w:rPr>
      </w:pPr>
    </w:p>
    <w:p>
      <w:pPr>
        <w:ind w:right="160" w:firstLine="881"/>
        <w:spacing w:after="0" w:line="257" w:lineRule="auto"/>
        <w:rPr>
          <w:sz w:val="20"/>
          <w:szCs w:val="20"/>
          <w:color w:val="auto"/>
        </w:rPr>
      </w:pPr>
      <w:r>
        <w:rPr>
          <w:rFonts w:ascii="Times New Roman" w:cs="Times New Roman" w:eastAsia="Times New Roman" w:hAnsi="Times New Roman"/>
          <w:sz w:val="18"/>
          <w:szCs w:val="18"/>
          <w:color w:val="auto"/>
        </w:rPr>
        <w:t>Since our inception, our business has grown rapidly, which has resulted in a large increase in our employee headcount, expansion of our infrastructure, enhancement of our internal systems and other significant changes and additional complexities. Our revenues increased from $58.1 million for fiscal 2018 to $91.5 million for fiscal 2019 to $138.2 million for fiscal 2020, and from $61.8 million for the six months ended July 31, 2019 to</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$93.5 million for the six months ended July 31, 2020. Our total number of employees increased from 436 as of January 31, 2018 to 991 as of July 31, 2020. Managing and sustaining a growing workforce and customer base geographically-dispersed in the United States and internationally will require substantial management effort, infrastructure and operational capabilities. To support our growth, we must continue to improve our management resources and our operational and financial controls and systems, and these improvements may increase our expenses more than anticipated and result in a more complex business. We will also have to expand and enhance the capabilities of our sales, relationship management, implementation, customer service, research and development, and other personnel to support our growth and continue to achieve high levels of customer service and satisfaction. Our success will depend on our ability to plan for and manage this growth effectively. If we fail to anticipate and manage our growth or are unable to continue to provide high levels of customer service, our reputation, as well as our business and results of operations, could be materially and adversely affected.</w:t>
      </w:r>
    </w:p>
    <w:p>
      <w:pPr>
        <w:spacing w:after="0" w:line="1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Defects, errors or other performance problems in the nCino Bank Operating System could harm our reputation, result in significant costs to us, impair our ability to sell our solution and subject us to substantial liability.</w:t>
      </w:r>
    </w:p>
    <w:p>
      <w:pPr>
        <w:spacing w:after="0" w:line="159"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The nCino Bank Operating System is complex and may contain defects or errors when implemented or when new functionality is released. Despite extensive testing, from time to time we have discovered and may in the future discover defects or errors in our solution. Any performance problems or defects in our solution may materially and adversely affect our business and results of operations. Defects, errors or other performance problems or disruptions in service to provide bug fixes or upgrades, whether in connection with day-to-day operations or otherwise, could be costly for us, damage our customers’ businesses and harm our reputation. In addition, if we have any such errors, defects or other performance problems, our customers could seek to terminate their contracts, elect not to renew their subscriptions, delay or withhold payment or make claims against us. Any of these actions could result in liability, lost business, increased insurance costs, difficulty in collecting accounts receivable, costly litigation or adverse publicity. Errors, defects or other problems could also result in reduced sales or a loss of, or delay in, the market acceptance of our solution.</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anticipate and respond to rapid changes in the industry in which we operate, our ability to attract and retain customers could be impaired and our competitive position could be harmed.</w:t>
      </w:r>
    </w:p>
    <w:p>
      <w:pPr>
        <w:spacing w:after="0" w:line="159" w:lineRule="exact"/>
        <w:rPr>
          <w:sz w:val="20"/>
          <w:szCs w:val="20"/>
          <w:color w:val="auto"/>
        </w:rPr>
      </w:pPr>
    </w:p>
    <w:p>
      <w:pPr>
        <w:ind w:right="60" w:firstLine="881"/>
        <w:spacing w:after="0" w:line="253" w:lineRule="auto"/>
        <w:rPr>
          <w:sz w:val="20"/>
          <w:szCs w:val="20"/>
          <w:color w:val="auto"/>
        </w:rPr>
      </w:pPr>
      <w:r>
        <w:rPr>
          <w:rFonts w:ascii="Times New Roman" w:cs="Times New Roman" w:eastAsia="Times New Roman" w:hAnsi="Times New Roman"/>
          <w:sz w:val="18"/>
          <w:szCs w:val="18"/>
          <w:color w:val="auto"/>
        </w:rPr>
        <w:t>The financial services industry is subject to rapid change and the introduction of new technologies to meet the needs of this industry will continue to have a significant effect on competitive conditions in our market. If we are unable to successfully expand our product offerings beyond our current solution, our customers could migrate to competitors who may offer a broader or more attractive range of products and services. For example, we recently launched our nIQ capabilities and we may fail to achieve market acceptance of this offering. Unexpected delays in releasing new or enhanced versions of our solution, or errors following their release, could result in loss of sales, delay in market acceptance, or customer claims against us, any of which could adversely affect our business. The success of any new solution depends on several factors, including timely completion, adequate quality testing and market acceptance. We may not be able to enhance aspects of our solution successfully or introduce and gain market acceptance of new applications or improvements in a timely manner, or at all. Additionally, we must continually modify and enhance our solution to keep pace with changes in software applications, database technology, and evolving technical standards and interfaces. Uncertainties related to our ability to introduce and improve functionality, announcements or introductions of a new or updated solution or modifications by our competitors could adversely affect our business and results of operations.</w:t>
      </w:r>
    </w:p>
    <w:p>
      <w:pPr>
        <w:spacing w:after="0" w:line="18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leverage third-party software, content and services for use with our solution. Performance issues, errors and defects, or failure to successfully integrate or license necessary third-party software, content or services, could cause delays, errors, or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of our solution, increases in our expenses and reductions in our sales, which could materially and adversely affect our business and results of operations.</w:t>
      </w:r>
    </w:p>
    <w:p>
      <w:pPr>
        <w:spacing w:after="0" w:line="159"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We use software and content licensed from, and services provided by, a variety of third parties in connection with the operation of our solution. Any performance issues, errors, bugs, or defects in third-party software, content or services could result in errors or a failure of our solution, which could adversely affect our business and results of operations. In the future, we might need to license other software, content or services to enhance our solution and meet evolving customer demands and requirements. Any limitations in our ability to use third-party software, content or services could significantly increase our expenses and otherwise result in delays, a reduction in functionality, or errors or failures of our solution until equivalent technology or content is either developed by us or, if available, identified, obtained through purchase or license, and integrated into our solution. In addition, third-party licenses may expose us to increased risks, including risks associated with the integration of new technology, the diversion of resources from the development of our own proprietary technology, and our inability to generate revenues from new technology sufficient to offset associated acquisition and maintenance costs, all of which may increase our expenses and materially and adversely affect our business and results of operations.</w:t>
      </w:r>
    </w:p>
    <w:p>
      <w:pPr>
        <w:spacing w:after="0" w:line="184"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spacing w:after="0" w:line="175"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From time to time, we consider potential strategic transactions, including acquisitions of, or investments in, businesses, technologies, services, solutions and other assets. For example, in fiscal 2020, we acquired Visible Equity and FinSuite and established our nCino K.K. joint venture. We also may enter into relationships with other businesses to expand our solution, which could involve preferred or exclusive licenses, additional channels of distribution, discount pricing or investments in other companies. Negotiating these transactions can be time-consuming, difficult and expensive, and our ability to close these transactions may be subject to approvals that are beyond our control. In addition, nCino has limited experience in acquiring other businesses. If an acquired business fails to meet our expectations, our operating results, business and financial position may suffer. We may not be able to find and identify desirable acquisition targets, we may incorrectly estimate the value of an acquisition target, and we may not be successful in entering into an agreement with any particular target. If we are successful in acquiring additional businesses, we may not achieve the anticipated benefits from the acquired business due to a number of factors, including:</w:t>
      </w:r>
    </w:p>
    <w:p>
      <w:pPr>
        <w:spacing w:after="0" w:line="188"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integrate or benefit from acquired technologies or services;</w:t>
      </w:r>
    </w:p>
    <w:p>
      <w:pPr>
        <w:spacing w:after="0" w:line="21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acquisition-related costs;</w:t>
      </w:r>
    </w:p>
    <w:p>
      <w:pPr>
        <w:spacing w:after="0" w:line="225"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technology, accounting systems, operations, control environments and personnel of the acquired business and integrating the acquired business or its employees into our culture;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solutions and infrastructure of the acquired business;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converting the customers of the acquired business to our solution and contract terms, including disparities in licensing terms;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costs for the support or professional services model of the acquired company;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and other resources;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customers;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equity securities that could dilute the ownership interests of our stockholders;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debt on terms unfavorable to us or that we are unable to repay;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liabilities;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key employees of the acquired business;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substantial depreciation or deferred compensation charges.</w:t>
      </w:r>
    </w:p>
    <w:p>
      <w:pPr>
        <w:spacing w:after="0" w:line="225" w:lineRule="exact"/>
        <w:rPr>
          <w:sz w:val="20"/>
          <w:szCs w:val="20"/>
          <w:color w:val="auto"/>
        </w:rPr>
      </w:pPr>
    </w:p>
    <w:p>
      <w:pPr>
        <w:ind w:right="120" w:firstLine="881"/>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two of our stockholders collectively hold a substantial majority of our total outstanding common stock, the influence of our public stockholders over significant corporate actions will be limited and sales by either of these stockholders could adversely affect the value of our common stock.</w:t>
      </w:r>
    </w:p>
    <w:p>
      <w:pPr>
        <w:spacing w:after="0" w:line="175"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Based on the total number of shares of our common stock outstanding as of July 31, 2020, entities affiliated with Insight Partners (“Insight Partners”) and Salesforce hold 41.7% and 11.8% of our total outstanding common stock, respectively. As a result, Insight Partners by itself, and to a lesser degree, Salesforce, will have the ability to influence the outcome of corporate actions requiring stockholder approval, including the election of directors, the approval of mergers or other changes of corporate control, any of which may be in opposition to the best interests of our other stockholders and may adversely impact our results of operations and the value of our common stock. Further, although we have what we consider to be a deep commercial relationship with Salesforce, it has the right to, and has no duty to abstain from exercising its right to, engage or invest in the same or similar business as us, and do business with any of our customers and any other party with which we do business. Conflicts of interest could arise between us and Salesforce, and any conflict of interest may be resolved in a manner that does not favor us. Sales of our common stock by Insight or Salesforce could have an immediate and substantial adverse affect on the value of our common stock.</w:t>
      </w:r>
    </w:p>
    <w:p>
      <w:pPr>
        <w:spacing w:after="0" w:line="1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customers are highly regulated and subject to a number of challenges and risks. Our failure to comply with laws and regulations applicable to us as a technology provider to financial institutions could adversely affect our business and results of operations, increase costs and impose constraints on the way we conduct our business.</w:t>
      </w:r>
    </w:p>
    <w:p>
      <w:pPr>
        <w:spacing w:after="0" w:line="175"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Our customers and prospective customers are highly regulated and are generally required to comply with stringent regulations in connection with performing business functions that the nCino Bank Operating System addresses. As a provider of technology to financial institutions, we may be examined on a periodic basis by various regulatory agencies and may be required to review certain of our suppliers and partners. In addition, while much of our operations are not directly subject to the same regulations applicable to financial institutions, we are generally obligated to our customers to provide software solutions and maintain internal systems and processes that comply with certain federal and state regulations applicable to them. For example, as a result of obligations under some of our customer contracts, we are required to comply with certain provisions of the Gramm-Leach-Bliley Act related to the privacy of consumer information and may be subject to other privacy and data security laws because of the solution we provide to financial institutions. Matters subject to review and examination by federal and state financial institution regulatory agencies and external auditors include our internal information technology controls in connection with our performance of data processing services, the agreements giving rise to those processing activities, and the design of our solution. Any inability to satisfy these examinations and maintain compliance with applicable regulations could adversely affect our ability to conduct our business, including attracting and maintaining customers. If we have to make changes to our internal processes and solution as result of these regulations, we could be required to invest substantial additional time and funds and divert time and resources from other corporate purposes to remedy any identified deficiency.</w:t>
      </w:r>
    </w:p>
    <w:p>
      <w:pPr>
        <w:spacing w:after="0" w:line="187" w:lineRule="exact"/>
        <w:rPr>
          <w:sz w:val="20"/>
          <w:szCs w:val="20"/>
          <w:color w:val="auto"/>
        </w:rPr>
      </w:pPr>
    </w:p>
    <w:p>
      <w:pPr>
        <w:ind w:right="100" w:firstLine="881"/>
        <w:spacing w:after="0" w:line="261" w:lineRule="auto"/>
        <w:rPr>
          <w:sz w:val="20"/>
          <w:szCs w:val="20"/>
          <w:color w:val="auto"/>
        </w:rPr>
      </w:pPr>
      <w:r>
        <w:rPr>
          <w:rFonts w:ascii="Times New Roman" w:cs="Times New Roman" w:eastAsia="Times New Roman" w:hAnsi="Times New Roman"/>
          <w:sz w:val="18"/>
          <w:szCs w:val="18"/>
          <w:color w:val="auto"/>
        </w:rPr>
        <w:t>The evolving, complex and often unpredictable regulatory environment in which our customers operate could result in our failure to provide a compliant solution, which could result in customers not purchasing our solution or terminating their contracts with us or the imposition of fines or other liabilities for which we may be responsible. In addition, federal, state and/or foreign agencies may attempt to further regulate our activities in the future which could adversely affect our business and results of operations.</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successfully expand internationally. In addition, sales to customers outside the United States or with international operations expose us to risks inherent in international sales, which may include a marked increase in expenses.</w:t>
      </w:r>
    </w:p>
    <w:p>
      <w:pPr>
        <w:spacing w:after="0" w:line="159" w:lineRule="exact"/>
        <w:rPr>
          <w:sz w:val="20"/>
          <w:szCs w:val="20"/>
          <w:color w:val="auto"/>
        </w:rPr>
      </w:pPr>
    </w:p>
    <w:p>
      <w:pPr>
        <w:ind w:right="120" w:firstLine="881"/>
        <w:spacing w:after="0" w:line="266" w:lineRule="auto"/>
        <w:rPr>
          <w:sz w:val="20"/>
          <w:szCs w:val="20"/>
          <w:color w:val="auto"/>
        </w:rPr>
      </w:pPr>
      <w:r>
        <w:rPr>
          <w:rFonts w:ascii="Times New Roman" w:cs="Times New Roman" w:eastAsia="Times New Roman" w:hAnsi="Times New Roman"/>
          <w:sz w:val="18"/>
          <w:szCs w:val="18"/>
          <w:color w:val="auto"/>
        </w:rPr>
        <w:t>For the fiscal year ended January 31, 2020 and for the six months ended July 31, 2020, sales to customers outside the United States accounted for 8.0% and 9.6%, respectively, of our total revenues. A key element of our growth strategy is to further expand our international operations and worldwide customer base. We have begun expending significant resources to</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build out our sales and professional services organizations outside of the United States and we may not realize a suitable return on this investment in the near future, if at all. We have limited operating experience in international markets, and we cannot assure you that our international expansion efforts will be successful. Our experience in the United States may not be relevant to our ability to expand in any international market.</w:t>
      </w:r>
    </w:p>
    <w:p>
      <w:pPr>
        <w:spacing w:after="0" w:line="176"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Operating in international markets requires significant resources and management attention and subjects us to regulatory, economic and political risks that are different from those in the United States. Export control regulations in the United States may increasingly be implicated in our operations as we expand internationally. These regulations may limit the export of our solution and provision of our solution outside of the United States, or may require export authorizations, including by license, a license exception or other appropriate government authorizations, including annual or semi-annual reporting and the filing of an encryption registration. Changes in export or import laws, or corresponding sanctions, may delay the introduction and sale of our solution in international markets, or, in some cases, prevent the export or import of our solution to certain countries, regions, governments, persons or entities altogether, which could adversely affect our business, financial condition and results of operations.</w:t>
      </w:r>
    </w:p>
    <w:p>
      <w:pPr>
        <w:spacing w:after="0" w:line="189" w:lineRule="exact"/>
        <w:rPr>
          <w:sz w:val="20"/>
          <w:szCs w:val="20"/>
          <w:color w:val="auto"/>
        </w:rPr>
      </w:pPr>
    </w:p>
    <w:p>
      <w:pPr>
        <w:ind w:firstLine="881"/>
        <w:spacing w:after="0" w:line="258" w:lineRule="auto"/>
        <w:rPr>
          <w:sz w:val="20"/>
          <w:szCs w:val="20"/>
          <w:color w:val="auto"/>
        </w:rPr>
      </w:pPr>
      <w:r>
        <w:rPr>
          <w:rFonts w:ascii="Times New Roman" w:cs="Times New Roman" w:eastAsia="Times New Roman" w:hAnsi="Times New Roman"/>
          <w:sz w:val="18"/>
          <w:szCs w:val="18"/>
          <w:color w:val="auto"/>
        </w:rPr>
        <w:t>We are also subject to various domestic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our international presence expands and as we increase sales and operations in foreign jurisdictions.</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addition, we face risks in doing business internationally that could adversely affect our business, including:</w:t>
      </w:r>
    </w:p>
    <w:p>
      <w:pPr>
        <w:spacing w:after="0" w:line="225"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w:t>
      </w:r>
    </w:p>
    <w:p>
      <w:pPr>
        <w:spacing w:after="0" w:line="21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and adapt our solution for specific countries;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varying and sometimes conflicting data privacy laws and regulations;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including employment laws and regulations;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regional, economic or political conditions, including that arise from Brexit in the UK;</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cycles and collections issues;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1300" w:right="800" w:hanging="320"/>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w:t>
      </w:r>
    </w:p>
    <w:p>
      <w:pPr>
        <w:spacing w:after="0" w:line="225" w:lineRule="exact"/>
        <w:rPr>
          <w:rFonts w:ascii="Times New Roman" w:cs="Times New Roman" w:eastAsia="Times New Roman" w:hAnsi="Times New Roman"/>
          <w:sz w:val="18"/>
          <w:szCs w:val="18"/>
          <w:color w:val="auto"/>
        </w:rPr>
      </w:pPr>
    </w:p>
    <w:p>
      <w:pPr>
        <w:ind w:left="1300" w:right="420" w:hanging="320"/>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challenges related to the complexity of multiple, conflicting and changing governmental laws and regulations, including employment, tax, and anti-bribery laws and regulations;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sz w:val="20"/>
          <w:szCs w:val="20"/>
          <w:color w:val="auto"/>
        </w:rPr>
      </w:pPr>
    </w:p>
    <w:p>
      <w:pPr>
        <w:ind w:right="180" w:firstLine="881"/>
        <w:spacing w:after="0" w:line="266" w:lineRule="auto"/>
        <w:rPr>
          <w:sz w:val="20"/>
          <w:szCs w:val="20"/>
          <w:color w:val="auto"/>
        </w:rPr>
      </w:pPr>
      <w:r>
        <w:rPr>
          <w:rFonts w:ascii="Times New Roman" w:cs="Times New Roman" w:eastAsia="Times New Roman" w:hAnsi="Times New Roman"/>
          <w:sz w:val="18"/>
          <w:szCs w:val="18"/>
          <w:color w:val="auto"/>
        </w:rPr>
        <w:t>Our international contracts often provide for payment denominated in local currencies, and the majority of our local costs are denominated in local currencies. Therefore, fluctuations in the value of the U.S. dollar and foreign currencies may impact our results of operations when translated into U.S. dollars. We do not currently engage in currency hedging activities to limit the risk of exchange rate fluctuations.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could prevent us from executing our business strategy.</w:t>
      </w:r>
    </w:p>
    <w:p>
      <w:pPr>
        <w:spacing w:after="0" w:line="229" w:lineRule="exact"/>
        <w:rPr>
          <w:sz w:val="20"/>
          <w:szCs w:val="20"/>
          <w:color w:val="auto"/>
        </w:rPr>
      </w:pPr>
    </w:p>
    <w:p>
      <w:pPr>
        <w:ind w:right="20" w:firstLine="881"/>
        <w:spacing w:after="0" w:line="253" w:lineRule="auto"/>
        <w:rPr>
          <w:sz w:val="20"/>
          <w:szCs w:val="20"/>
          <w:color w:val="auto"/>
        </w:rPr>
      </w:pPr>
      <w:r>
        <w:rPr>
          <w:rFonts w:ascii="Times New Roman" w:cs="Times New Roman" w:eastAsia="Times New Roman" w:hAnsi="Times New Roman"/>
          <w:sz w:val="18"/>
          <w:szCs w:val="18"/>
          <w:color w:val="auto"/>
        </w:rPr>
        <w:t>We must attract and retain highly qualified personnel. In particular, we are dependent upon the services of our senior leadership team, and the loss of any member of this team could adversely affect our business. Competition for executive officers, software developers, sales personnel and other key employees in our industry is intense. In particular, we compete with many other companies for software developers with high levels of experience in designing, developing and managing cloud-based software, as well as for skilled sales and operations professionals. Our principal operations are in Wilmington, North Carolina, where the pool of potential employees with the skills we need is more limited than it may be in larger markets, and we are sometimes required to induce prospective employees to relocate. Many of the companies with which we compete for experienced personnel have greater resources than we do. If we fail to attract new personnel or fail to retain and motivate our current personnel, our growth prospects could be severely harmed. In addition, job candidates and existing employees often consider the actual and potential value of the equity awards they receive as part of their overall compensation. Thus, if the perceived value or future value of our stock declines, our ability to attract and retain highly skilled employees may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effectively expand our sales capabilities could harm our ability to increase our customer base.</w:t>
      </w:r>
    </w:p>
    <w:p>
      <w:pPr>
        <w:spacing w:after="0" w:line="229" w:lineRule="exact"/>
        <w:rPr>
          <w:sz w:val="20"/>
          <w:szCs w:val="20"/>
          <w:color w:val="auto"/>
        </w:rPr>
      </w:pPr>
    </w:p>
    <w:p>
      <w:pPr>
        <w:ind w:right="40" w:firstLine="881"/>
        <w:spacing w:after="0" w:line="255" w:lineRule="auto"/>
        <w:rPr>
          <w:sz w:val="20"/>
          <w:szCs w:val="20"/>
          <w:color w:val="auto"/>
        </w:rPr>
      </w:pPr>
      <w:r>
        <w:rPr>
          <w:rFonts w:ascii="Times New Roman" w:cs="Times New Roman" w:eastAsia="Times New Roman" w:hAnsi="Times New Roman"/>
          <w:sz w:val="18"/>
          <w:szCs w:val="18"/>
          <w:color w:val="auto"/>
        </w:rPr>
        <w:t>Increasing our customer base and expanding customer adoption within and across business lines will depend, to a significant extent, on our ability to effectively expand our sales and marketing operations and activities. From January 31, 2019 to July 31, 2020, our sales and marketing teams increased from 140 to 236 employees. We plan to continue to expand our direct sales force both domestically and internationally for the foreseeable future. We believe that there is significant competition for experienced sales professionals with the sales skills and technical knowledge that we require. Newly hired employees require significant training and time before they achieve full productivity and they may not become as productive as quickly as we expect, if at all. Further, we may be unable to hire or retain sufficient numbers of qualified individuals in the future in the markets where we do business. Our business will be adversely affected if our sales expansion efforts do not generate a significant increase in revenues.</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provide effective customer training on the nCino Bank Operating System and high-quality customer support, our business and reputation would suffer.</w:t>
      </w:r>
    </w:p>
    <w:p>
      <w:pPr>
        <w:spacing w:after="0" w:line="159" w:lineRule="exact"/>
        <w:rPr>
          <w:sz w:val="20"/>
          <w:szCs w:val="20"/>
          <w:color w:val="auto"/>
        </w:rPr>
      </w:pPr>
    </w:p>
    <w:p>
      <w:pPr>
        <w:ind w:right="20" w:firstLine="881"/>
        <w:spacing w:after="0" w:line="258" w:lineRule="auto"/>
        <w:rPr>
          <w:sz w:val="20"/>
          <w:szCs w:val="20"/>
          <w:color w:val="auto"/>
        </w:rPr>
      </w:pPr>
      <w:r>
        <w:rPr>
          <w:rFonts w:ascii="Times New Roman" w:cs="Times New Roman" w:eastAsia="Times New Roman" w:hAnsi="Times New Roman"/>
          <w:sz w:val="18"/>
          <w:szCs w:val="18"/>
          <w:color w:val="auto"/>
        </w:rPr>
        <w:t>Effective customer training on the nCino Bank Operating System and high-quality, ongoing customer support are critical to the successful marketing, sale and adoption of our solution and for the renewal of existing customer contracts. As we grow our customer base, we will need to further invest in and expand our customer support and training organization, which could strain our team and infrastructure and reduce profit margins. If we do not help our customers adopt our solution, quickly resolve any post-implementation matters, and provide effective ongoing customer support and training, our ability to expand sales to existing and future customers and our reputation would be adversely affected.</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effectively integrate our solution with other systems used by our customers, or if there are performance issues with such third-party systems, our solution will not operate effectively and our business and reputation will be adversely affected.</w:t>
      </w:r>
    </w:p>
    <w:p>
      <w:pPr>
        <w:spacing w:after="0" w:line="159" w:lineRule="exact"/>
        <w:rPr>
          <w:sz w:val="20"/>
          <w:szCs w:val="20"/>
          <w:color w:val="auto"/>
        </w:rPr>
      </w:pPr>
    </w:p>
    <w:p>
      <w:pPr>
        <w:ind w:right="80" w:firstLine="881"/>
        <w:spacing w:after="0" w:line="258" w:lineRule="auto"/>
        <w:rPr>
          <w:sz w:val="20"/>
          <w:szCs w:val="20"/>
          <w:color w:val="auto"/>
        </w:rPr>
      </w:pPr>
      <w:r>
        <w:rPr>
          <w:rFonts w:ascii="Times New Roman" w:cs="Times New Roman" w:eastAsia="Times New Roman" w:hAnsi="Times New Roman"/>
          <w:sz w:val="18"/>
          <w:szCs w:val="18"/>
          <w:color w:val="auto"/>
        </w:rPr>
        <w:t>The nCino Bank Operating System integrates with other third-party systems used by our customers, including core processing systems. We do not have formal arrangements with many of these third-party providers regarding our access to their application program interfaces to enable these customer integrations. If we are unable to effectively integrate with third-party systems, our customers’ operations may be disrupted, which may result in disputes with customers, negatively impact customer satisfaction and harm our business. If the software of such third-party providers has performance or other problems, such issues may reflect poorly on us and the adoption and renewal of our solution, and our business and reputation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can be unpredictable, time-consuming and costly.</w:t>
      </w:r>
    </w:p>
    <w:p>
      <w:pPr>
        <w:spacing w:after="0" w:line="229"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Our sales process involves educating prospective customers and existing customers about the benefits and technical capabilities of our solution. Prospective customers often undertake a prolonged evaluation process, which typically involves not only our solution, but also those of our competitors. Our sales cycles are typically lengthy, generally ranging from six to nine months for smaller financial institutions and twelve to eighteen months or more for larger financial institutions. We may spend substantial time, effort and money on our sales and marketing efforts without any assurance that our efforts will produce any sales. Events affecting our customers’ businesses may occur during the sales cycle that could affect the size or timing of a purchase, contributing to more unpredictability in our business and results of operations. As a result of these factors, we may face greater costs, longer sales cycles and less predictability in the future.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proprietary technology and intellectual property rights could adversely affect our business and results of operations.</w:t>
      </w:r>
    </w:p>
    <w:p>
      <w:pPr>
        <w:spacing w:after="0" w:line="229" w:lineRule="exact"/>
        <w:rPr>
          <w:sz w:val="20"/>
          <w:szCs w:val="20"/>
          <w:color w:val="auto"/>
        </w:rPr>
      </w:pPr>
    </w:p>
    <w:p>
      <w:pPr>
        <w:jc w:val="both"/>
        <w:ind w:right="140" w:firstLine="881"/>
        <w:spacing w:after="0" w:line="266" w:lineRule="auto"/>
        <w:rPr>
          <w:sz w:val="20"/>
          <w:szCs w:val="20"/>
          <w:color w:val="auto"/>
        </w:rPr>
      </w:pPr>
      <w:r>
        <w:rPr>
          <w:rFonts w:ascii="Times New Roman" w:cs="Times New Roman" w:eastAsia="Times New Roman" w:hAnsi="Times New Roman"/>
          <w:sz w:val="18"/>
          <w:szCs w:val="18"/>
          <w:color w:val="auto"/>
        </w:rPr>
        <w:t>Our future success and competitive position depend in part on our ability to protect our intellectual property and proprietary technologies.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176"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As of July 31, 2020, we had twelve issued patents and one patent application pending relating to the nCino Bank Operating System in the United States. We cannot assure you that any patents will issue from any patent applications, that patents that may be issued from such applications will give us the protection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We have registered the “nCino” name and logo in the United States and certain other countries and we have registrations and/or pending applications for additional marks including the “Bank Operating System” and “nIQ” in the United States and certain other countries. However, we cannot assure you that any future trademark registrations will be issued for pending or future applications or that any registered trademarks will be enforceable or provide adequate protection of our proprietary rights. We also license software from third parties for integration into our solution, including open source software and other software available on commercially reasonable terms. We cannot assure you that such third parties will maintain such software or continue to make it available. We also rely on confidentiality agreements, consulting agreements, work-for-hire agreements and invention assignment agreements with our employees, consultants and others.</w:t>
      </w:r>
    </w:p>
    <w:p>
      <w:pPr>
        <w:spacing w:after="0" w:line="192"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Despite our efforts to protect our proprietary technology and trade secrets, unauthorized parties may attempt to misappropriate, reverse engineer or otherwise obtain and use them. In addition, others may independently discover our trade secrets, in which case we would not be able to assert trade secret rights, or develop similar technologies and processes. Further,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 technologies or intellectual property rights.</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solution, which may restrict how we use or distribute our solutions, require that we release the source code of certain software subject to open source licenses or subject us to litigation or other actions that could adversely affect our business.</w:t>
      </w:r>
    </w:p>
    <w:p>
      <w:pPr>
        <w:spacing w:after="0" w:line="159" w:lineRule="exact"/>
        <w:rPr>
          <w:sz w:val="20"/>
          <w:szCs w:val="20"/>
          <w:color w:val="auto"/>
        </w:rPr>
      </w:pPr>
    </w:p>
    <w:p>
      <w:pPr>
        <w:ind w:firstLine="881"/>
        <w:spacing w:after="0" w:line="256" w:lineRule="auto"/>
        <w:rPr>
          <w:sz w:val="20"/>
          <w:szCs w:val="20"/>
          <w:color w:val="auto"/>
        </w:rPr>
      </w:pPr>
      <w:r>
        <w:rPr>
          <w:rFonts w:ascii="Times New Roman" w:cs="Times New Roman" w:eastAsia="Times New Roman" w:hAnsi="Times New Roman"/>
          <w:sz w:val="18"/>
          <w:szCs w:val="18"/>
          <w:color w:val="auto"/>
        </w:rPr>
        <w:t>We currently use in our solution, and may use in the future, software that is licensed under “open source,” “free” or other similar license, where the licensed software is made available to the general public on an “as-is” basis under the terms of a specific non-negotiable license. Some open source software licenses require that software subject to the license be made available to the public and that any modifications or derivative works based on the open source code be licensed in source code form under the same open source licenses. Although we monitor our use of open source software, we cannot assure you that all open source software is reviewed prior to use in our solution, that our programmers have not incorporated open source software into our solution, or that they will not do so in the future.</w:t>
      </w:r>
    </w:p>
    <w:p>
      <w:pPr>
        <w:spacing w:after="0" w:line="187" w:lineRule="exact"/>
        <w:rPr>
          <w:sz w:val="20"/>
          <w:szCs w:val="20"/>
          <w:color w:val="auto"/>
        </w:rPr>
      </w:pPr>
    </w:p>
    <w:p>
      <w:pPr>
        <w:ind w:right="80" w:firstLine="881"/>
        <w:spacing w:after="0" w:line="254" w:lineRule="auto"/>
        <w:rPr>
          <w:sz w:val="20"/>
          <w:szCs w:val="20"/>
          <w:color w:val="auto"/>
        </w:rPr>
      </w:pPr>
      <w:r>
        <w:rPr>
          <w:rFonts w:ascii="Times New Roman" w:cs="Times New Roman" w:eastAsia="Times New Roman" w:hAnsi="Times New Roman"/>
          <w:sz w:val="18"/>
          <w:szCs w:val="18"/>
          <w:color w:val="auto"/>
        </w:rPr>
        <w:t>In addition, our solution may incorporate third-party software under commercial licenses. We cannot be certain whether such third-party software incorporates open source software without our knowledge. In the past, companies that incorporate open source software into their products have faced claims alleging noncompliance with open source license terms or infringement or misappropriation of proprietary software. Therefore, we could be subject to suits by parties claiming noncompliance with open source licensing terms or infringement or misappropriation of proprietary software. Because few courts have interpreted open source licenses, the manner in which these licenses may be interpreted and enforced is subject to some uncertainty. There is a risk that open source software licenses could be construed in a manner that imposes unanticipated conditions or restrictions on our ability to market or provide our solution. As a result of using open source software subject to such licenses, we could be required to release proprietary source code, pay damages, re-engineer our solution, limit or discontinue sales or take other remedial action, any of which could adversely affect our business.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violations by us of their intellectual property rights, whether or not correct, could result in significant costs and adversely affect our business and results of operations.</w:t>
      </w:r>
    </w:p>
    <w:p>
      <w:pPr>
        <w:spacing w:after="0" w:line="159" w:lineRule="exact"/>
        <w:rPr>
          <w:sz w:val="20"/>
          <w:szCs w:val="20"/>
          <w:color w:val="auto"/>
        </w:rPr>
      </w:pPr>
    </w:p>
    <w:p>
      <w:pPr>
        <w:ind w:right="20" w:firstLine="881"/>
        <w:spacing w:after="0" w:line="253" w:lineRule="auto"/>
        <w:rPr>
          <w:sz w:val="20"/>
          <w:szCs w:val="20"/>
          <w:color w:val="auto"/>
        </w:rPr>
      </w:pPr>
      <w:r>
        <w:rPr>
          <w:rFonts w:ascii="Times New Roman" w:cs="Times New Roman" w:eastAsia="Times New Roman" w:hAnsi="Times New Roman"/>
          <w:sz w:val="18"/>
          <w:szCs w:val="18"/>
          <w:color w:val="auto"/>
        </w:rPr>
        <w:t>Patent and other intellectual property disputes are common in our industry. We may be subject to claims in the future alleging that we have misappropriated, misused, or infringed other parties’ intellectual property rights. Some companies, including certain of our competitors, own a larger number of patents, copyrights and trademarks than we do, which they may use to assert claims against us. This disparity may also increase the risk that third parties may sue us for patent infringement and may limit our ability to counterclaim for patent infringement or settle through patent cross-licenses. In addition, future assertions of patent rights by third parties, and any resulting litigation, may involve patent holding companies, non-practicing entities or other adverse patent owners who have no relevant product revenues and against whom our own patents may provide little or no deterrence or protection. Our solution utilizes third-party licensed software, and any failure to comply with the terms of one or more of these licenses could adversely affect our business. Third parties may also assert claims of intellectual property rights infringement against our customers, whom we are typically required to indemnify. As competition increases,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could distract our management from our business and could deter customers or potential customers from purchasing our solution.</w:t>
      </w:r>
    </w:p>
    <w:p>
      <w:pPr>
        <w:spacing w:after="0" w:line="190" w:lineRule="exact"/>
        <w:rPr>
          <w:sz w:val="20"/>
          <w:szCs w:val="20"/>
          <w:color w:val="auto"/>
        </w:rPr>
      </w:pPr>
    </w:p>
    <w:p>
      <w:pPr>
        <w:ind w:right="380" w:firstLine="881"/>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successfully defend third-party intellectual property claims. An adverse outcome of a dispute may require us to:</w:t>
      </w:r>
    </w:p>
    <w:p>
      <w:pPr>
        <w:spacing w:after="0" w:line="162"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including treble damages, if we are found to have willfully infringed a third party’s patents or copyrights;</w:t>
      </w:r>
    </w:p>
    <w:p>
      <w:pPr>
        <w:spacing w:after="0" w:line="211" w:lineRule="exact"/>
        <w:rPr>
          <w:rFonts w:ascii="Times New Roman" w:cs="Times New Roman" w:eastAsia="Times New Roman" w:hAnsi="Times New Roman"/>
          <w:sz w:val="18"/>
          <w:szCs w:val="18"/>
          <w:color w:val="auto"/>
        </w:rPr>
      </w:pPr>
    </w:p>
    <w:p>
      <w:pPr>
        <w:ind w:left="1300" w:right="680" w:hanging="320"/>
        <w:spacing w:after="0" w:line="282"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or selling any elements of our solution that rely on technology that is alleged to infringe or misappropriate the intellectual property of others;</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potentially unfavorable royalty or license agreements in order to obtain the right to use necessary technologies or intellectual property rights;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additional development resources to attempt to redesign our solution or otherwise develop non-infringing technology, which may not be successful;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our customers and other third parties.</w:t>
      </w:r>
    </w:p>
    <w:p>
      <w:pPr>
        <w:spacing w:after="0" w:line="225" w:lineRule="exact"/>
        <w:rPr>
          <w:sz w:val="20"/>
          <w:szCs w:val="20"/>
          <w:color w:val="auto"/>
        </w:rPr>
      </w:pPr>
    </w:p>
    <w:p>
      <w:pPr>
        <w:ind w:right="460" w:firstLine="881"/>
        <w:spacing w:after="0" w:line="282" w:lineRule="auto"/>
        <w:rPr>
          <w:sz w:val="20"/>
          <w:szCs w:val="20"/>
          <w:color w:val="auto"/>
        </w:rPr>
      </w:pPr>
      <w:r>
        <w:rPr>
          <w:rFonts w:ascii="Times New Roman" w:cs="Times New Roman" w:eastAsia="Times New Roman" w:hAnsi="Times New Roman"/>
          <w:sz w:val="18"/>
          <w:szCs w:val="18"/>
          <w:color w:val="auto"/>
        </w:rPr>
        <w:t>Any license we may enter into as a result of litigation may be non-exclusive, and therefore our competitors may have access to the same technology licensed to us. Any of the foregoing events could adversely affect our business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damage our reputation and be costly and time-consuming to defend.</w:t>
      </w:r>
    </w:p>
    <w:p>
      <w:pPr>
        <w:spacing w:after="0" w:line="229"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We may become subject, from time to time, to legal proceedings and claims that arise in the ordinary course of business, such as claims brought by our customers in connection with commercial disputes or employment claims made by current or former employees. Litigation might result in reputational damage and substantial costs and may divert management’s attention and resources, which might adversely impact our business, overall financial condition and results of operations. Insurance might not cover such claims, might not provide sufficient payments to cover all the costs to resolve one or more such claims and might not continue to be available on terms acceptable to us. Moreover, any negative impact to our reputation will not be adequately covered by any insurance recovery. A claim brought against us that is uninsured or underinsured could result in unanticipated costs, thereby reducing our results of operations and leading analysts or potential investors to reduce their expectations of our performance, which could reduce the value of our common stock. While we currently are not aware of any material pending or threatened litigation against us, we can make no assurances the same will continue to be true in the future.</w:t>
      </w:r>
    </w:p>
    <w:p>
      <w:pPr>
        <w:spacing w:after="0" w:line="18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raise capital in a timely manner if needed in the future may be limited, or such capital may be unavailable on acceptable terms, if at all. Our failure to raise capital if needed could adversely affect our business and results of operations, and any debt or equity issued to raise additional capital may reduce the value of our common stock.</w:t>
      </w:r>
    </w:p>
    <w:p>
      <w:pPr>
        <w:spacing w:after="0" w:line="175" w:lineRule="exact"/>
        <w:rPr>
          <w:sz w:val="20"/>
          <w:szCs w:val="20"/>
          <w:color w:val="auto"/>
        </w:rPr>
      </w:pPr>
    </w:p>
    <w:p>
      <w:pPr>
        <w:ind w:right="400" w:firstLine="881"/>
        <w:spacing w:after="0" w:line="282"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financings and receipts generated from customers. We cannot be certain when or if our operations will generate sufficient cash to fund our ongoing operations or the</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growth of our business. We intend to continue to make investments to support our business and may require additional funds. Moreover, we do not expect to be profitable for the foreseeable future. Additional financing may not be available on favorable terms, if at all. If adequate funds are not available on acceptable terms, we may be unable to invest in future growth opportunities, which could adversely affect our business and results of operations. If we incur debt, the lenders would have rights senior to holders of common stock to make claims on our assets, the terms of any debt could restrict our operations and we may be unable to service or repay the debt. Furthermore, if we issue additional equity securities, stockholders may experience dilution, and the new equity securities could have rights senior to those of our common stock. Because our decision to issue securities in a future offering will depend on numerous considerations, including factors beyond our control, we cannot predict or estimate the impact any future incurrence of debt or issuance of equity securities will have on us. Any future incurrence of debt or issuance of equity securities could adversely affect the value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We have incurred substantial net operating losses (“NOLs”), during our history. Unused NOLs may carry forward to offset future taxable income if we achieve profitability in the future, unless such NOLs expire under applicable tax laws. However, under the rules of Sections 382 and 383 of the Internal Revenue Code of 1986, as amended (the “Code”), if a corporation undergoes an “ownership change,” generally defined as a greater than 50% change (by value) in its equity ownership over a three-year period, the corporation’s ability to use its NOLs and other pre-change tax attributes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the company. The rules of Section 382 are regularly being evaluated to determine any potential limitations. If we experience one or more ownership changes as a result of future transactions in our stock, then we may be limited in our ability to use our NOL carryforwards to offset our future taxable income, if any. In addition, recently enacted tax legislation commonly referred to as the Tax Cuts and Jobs Act imposes certain limitations on the deduction of NOLs generated in tax years that began on or after January 1, 2018, including a limitation on use of NOLs to offset 80% of taxable income and the disallowance of NOL carryback. Although NOLs generated in tax years before 2018 may still be used to offset future income without regard to the 80% limitation, they have the potential to expire if we do not achieve profitability in the future.</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Amendments to existing tax laws, rules or regulations or enactment of new unfavorable tax laws, rules or regulations could have an adverse effect on our business and operating results.</w:t>
      </w:r>
    </w:p>
    <w:p>
      <w:pPr>
        <w:spacing w:after="0" w:line="159" w:lineRule="exact"/>
        <w:rPr>
          <w:sz w:val="20"/>
          <w:szCs w:val="20"/>
          <w:color w:val="auto"/>
        </w:rPr>
      </w:pPr>
    </w:p>
    <w:p>
      <w:pPr>
        <w:ind w:right="60" w:firstLine="881"/>
        <w:spacing w:after="0" w:line="255" w:lineRule="auto"/>
        <w:rPr>
          <w:sz w:val="20"/>
          <w:szCs w:val="20"/>
          <w:color w:val="auto"/>
        </w:rPr>
      </w:pPr>
      <w:r>
        <w:rPr>
          <w:rFonts w:ascii="Times New Roman" w:cs="Times New Roman" w:eastAsia="Times New Roman" w:hAnsi="Times New Roman"/>
          <w:sz w:val="18"/>
          <w:szCs w:val="18"/>
          <w:color w:val="auto"/>
        </w:rPr>
        <w:t>The Tax Cuts and Jobs Act made a number of significant changes to the current U.S. federal income tax rules, including reducing the generally applicable corporate tax rate from 35% to 21%, imposing additional limitations on the deductibility of interest, placing limits on the utilization of NOLs and making substantial changes to the international tax rules. Many of the provisions of the Tax Cuts and Jobs Act still require guidance through the issuance and/or finalization of regulations by the U.S. Treasury Department in order to fully assess their effect, and there may be substantial delays before such regulations are promulgated and/or finalized, increasing the uncertainty as to the ultimate effect of the Tax Cuts and Jobs Act on us and our stockholders. There also may be technical corrections legislation or other legislative changes proposed with respect to the Tax Cuts and Jobs Act, the effect of which cannot be predicted and may be adverse to us or our stockholders.</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159" w:lineRule="exact"/>
        <w:rPr>
          <w:sz w:val="20"/>
          <w:szCs w:val="20"/>
          <w:color w:val="auto"/>
        </w:rPr>
      </w:pPr>
    </w:p>
    <w:p>
      <w:pPr>
        <w:ind w:right="20" w:firstLine="881"/>
        <w:spacing w:after="0" w:line="253" w:lineRule="auto"/>
        <w:rPr>
          <w:sz w:val="20"/>
          <w:szCs w:val="20"/>
          <w:color w:val="auto"/>
        </w:rPr>
      </w:pPr>
      <w:r>
        <w:rPr>
          <w:rFonts w:ascii="Times New Roman" w:cs="Times New Roman" w:eastAsia="Times New Roman" w:hAnsi="Times New Roman"/>
          <w:sz w:val="18"/>
          <w:szCs w:val="18"/>
          <w:color w:val="auto"/>
        </w:rPr>
        <w:t>A significant portion of our employee base, operating facilities and infrastructure are centralized in Wilmington, North Carolina. Any of our facilities may be harmed or rendered inoperable by natural or man-made disasters, including hurricanes, tornadoes, wildfires, floods, earthquakes, nuclear disasters,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the facilities of our third-party providers, including Salesforce, may be harmed or rendered inoperable by such natural or man-made disasters, which may cause disruptions, difficulties or otherwise materially and adversely affect our business. Additionally, to the extent the COVID-19 pandemic adversely affects our business and financial results, it may also have the effect of heightening many of the other risks described in this ‘‘Risk Factors’’ section, such as our ability to achieve profitability in the future, our ability to attract new customers or continue to broaden our existing customers’ use of our solution and the impact of</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decrease in technology spend by customers and potential customers in the financial services industry where we derive all of our revenues.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or may decline steeply or suddenly regardless of our operating performance and we may not be able to meet investor or analyst expectations and you may lose all or part of your investment.</w:t>
      </w:r>
    </w:p>
    <w:p>
      <w:pPr>
        <w:spacing w:after="0" w:line="159" w:lineRule="exact"/>
        <w:rPr>
          <w:sz w:val="20"/>
          <w:szCs w:val="20"/>
          <w:color w:val="auto"/>
        </w:rPr>
      </w:pPr>
    </w:p>
    <w:p>
      <w:pPr>
        <w:ind w:right="160" w:firstLine="881"/>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fluctuate or decline significantly in response to numerous factors, many of which are beyond our control, including:</w:t>
      </w:r>
    </w:p>
    <w:p>
      <w:pPr>
        <w:spacing w:after="0" w:line="162" w:lineRule="exact"/>
        <w:rPr>
          <w:sz w:val="20"/>
          <w:szCs w:val="20"/>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between our actual operating results and the expectations of securities analysts, investors and the financial community;</w:t>
      </w:r>
    </w:p>
    <w:p>
      <w:pPr>
        <w:spacing w:after="0" w:line="211" w:lineRule="exact"/>
        <w:rPr>
          <w:rFonts w:ascii="Times New Roman" w:cs="Times New Roman" w:eastAsia="Times New Roman" w:hAnsi="Times New Roman"/>
          <w:sz w:val="18"/>
          <w:szCs w:val="18"/>
          <w:color w:val="auto"/>
        </w:rPr>
      </w:pPr>
    </w:p>
    <w:p>
      <w:pPr>
        <w:ind w:left="1300" w:right="800" w:hanging="320"/>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securities analysts who initiate or maintain coverage of us, changes in financial estimates by any securities analysts who follow us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our common stock being sold into the market by us or our existing stockholders, or the anticipation of such sales, including if existing stockholders sell shares into the market when applicable “lock-up” periods end;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activities by market participants;</w:t>
      </w:r>
    </w:p>
    <w:p>
      <w:pPr>
        <w:spacing w:after="0" w:line="225" w:lineRule="exact"/>
        <w:rPr>
          <w:rFonts w:ascii="Times New Roman" w:cs="Times New Roman" w:eastAsia="Times New Roman" w:hAnsi="Times New Roman"/>
          <w:sz w:val="18"/>
          <w:szCs w:val="18"/>
          <w:color w:val="auto"/>
        </w:rPr>
      </w:pPr>
    </w:p>
    <w:p>
      <w:pPr>
        <w:ind w:left="1300" w:right="280" w:hanging="320"/>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or features, technical innovations, acquisitions, strategic partnerships, joint ventures or capital commitments;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companies in our industry, including our competitors;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22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new legislation and pending lawsuits or regulatory actions, including interim or final rulings by judicial or regulatory bodies; and</w:t>
      </w:r>
    </w:p>
    <w:p>
      <w:pPr>
        <w:spacing w:after="0" w:line="161" w:lineRule="exact"/>
        <w:rPr>
          <w:rFonts w:ascii="Times New Roman" w:cs="Times New Roman" w:eastAsia="Times New Roman" w:hAnsi="Times New Roman"/>
          <w:sz w:val="18"/>
          <w:szCs w:val="18"/>
          <w:color w:val="auto"/>
        </w:rPr>
      </w:pPr>
    </w:p>
    <w:p>
      <w:pPr>
        <w:ind w:left="1300" w:right="180" w:hanging="320"/>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COVID-19, political conditions, election cycles, war or incidents of terrorism, or responses to these events.</w:t>
      </w:r>
    </w:p>
    <w:p>
      <w:pPr>
        <w:spacing w:after="0" w:line="162" w:lineRule="exact"/>
        <w:rPr>
          <w:sz w:val="20"/>
          <w:szCs w:val="20"/>
          <w:color w:val="auto"/>
        </w:rPr>
      </w:pPr>
    </w:p>
    <w:p>
      <w:pPr>
        <w:ind w:firstLine="881"/>
        <w:spacing w:after="0" w:line="261" w:lineRule="auto"/>
        <w:rPr>
          <w:sz w:val="20"/>
          <w:szCs w:val="20"/>
          <w:color w:val="auto"/>
        </w:rPr>
      </w:pPr>
      <w:r>
        <w:rPr>
          <w:rFonts w:ascii="Times New Roman" w:cs="Times New Roman" w:eastAsia="Times New Roman" w:hAnsi="Times New Roman"/>
          <w:sz w:val="18"/>
          <w:szCs w:val="18"/>
          <w:color w:val="auto"/>
        </w:rPr>
        <w:t>In addition, extreme price and volume fluctuations in the stock markets have affected and continue to affect many technology companies’ stock prices. Stock prices often fluctuate in ways unrelated or disproportionate to a company’s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80" w:lineRule="exact"/>
        <w:rPr>
          <w:sz w:val="20"/>
          <w:szCs w:val="20"/>
          <w:color w:val="auto"/>
        </w:rPr>
      </w:pPr>
    </w:p>
    <w:p>
      <w:pPr>
        <w:ind w:right="220" w:firstLine="881"/>
        <w:spacing w:after="0" w:line="256" w:lineRule="auto"/>
        <w:rPr>
          <w:sz w:val="20"/>
          <w:szCs w:val="20"/>
          <w:color w:val="auto"/>
        </w:rPr>
      </w:pPr>
      <w:r>
        <w:rPr>
          <w:rFonts w:ascii="Times New Roman" w:cs="Times New Roman" w:eastAsia="Times New Roman" w:hAnsi="Times New Roman"/>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229" w:lineRule="exact"/>
        <w:rPr>
          <w:sz w:val="20"/>
          <w:szCs w:val="20"/>
          <w:color w:val="auto"/>
        </w:rPr>
      </w:pPr>
    </w:p>
    <w:p>
      <w:pPr>
        <w:ind w:right="100" w:firstLine="881"/>
        <w:spacing w:after="0" w:line="254" w:lineRule="auto"/>
        <w:rPr>
          <w:sz w:val="20"/>
          <w:szCs w:val="20"/>
          <w:color w:val="auto"/>
        </w:rPr>
      </w:pPr>
      <w:r>
        <w:rPr>
          <w:rFonts w:ascii="Times New Roman" w:cs="Times New Roman" w:eastAsia="Times New Roman" w:hAnsi="Times New Roman"/>
          <w:sz w:val="18"/>
          <w:szCs w:val="18"/>
          <w:color w:val="auto"/>
        </w:rPr>
        <w:t>If our existing stockholders, including employees who obtain equity, sell or indicate an intention to sell, substantial amounts of our common stock in the public market after the lock-up and legal restrictions on resale lapse, the trading price of our common stock could decline. Each of our directors, executive officers and other holders of substantially all our outstanding equity securities are subject to lock-up agreements that restrict their ability to sell or transfer their shares for a period of 180 days after the date of the prospectus delivered in connection with our IPO, subject to certain exceptions. However, BofA Securities, Inc. and Barclays Capital Inc. may, in their sole discretion, waive the contractual lock-up before the lock-up agreements expire. Sales of a substantial number of such shares upon expiration of the lock-up and market stand-off agreements, the perception that such sales may occur or early releases of these agreements, could cause our market price to fall or make it more difficult for you to sell your common stock at a time and price that you deem appropriate.</w:t>
      </w:r>
    </w:p>
    <w:p>
      <w:pPr>
        <w:spacing w:after="0" w:line="188"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59" w:lineRule="exact"/>
        <w:rPr>
          <w:sz w:val="20"/>
          <w:szCs w:val="20"/>
          <w:color w:val="auto"/>
        </w:rPr>
      </w:pPr>
    </w:p>
    <w:p>
      <w:pPr>
        <w:ind w:firstLine="881"/>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175" w:lineRule="exact"/>
        <w:rPr>
          <w:sz w:val="20"/>
          <w:szCs w:val="20"/>
          <w:color w:val="auto"/>
        </w:rPr>
      </w:pPr>
    </w:p>
    <w:p>
      <w:pPr>
        <w:jc w:val="both"/>
        <w:ind w:firstLine="881"/>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179"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59" w:lineRule="exact"/>
        <w:rPr>
          <w:sz w:val="20"/>
          <w:szCs w:val="20"/>
          <w:color w:val="auto"/>
        </w:rPr>
      </w:pPr>
    </w:p>
    <w:p>
      <w:pPr>
        <w:ind w:right="80" w:firstLine="881"/>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162" w:lineRule="exact"/>
        <w:rPr>
          <w:sz w:val="20"/>
          <w:szCs w:val="20"/>
          <w:color w:val="auto"/>
        </w:rPr>
      </w:pPr>
    </w:p>
    <w:p>
      <w:pPr>
        <w:ind w:left="1300" w:right="340" w:hanging="320"/>
        <w:spacing w:after="0" w:line="266"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our independent registered public accounting firm audit our internal control over financial reporting under Section 404 of the Sarbanes-Oxley Act;</w:t>
      </w:r>
    </w:p>
    <w:p>
      <w:pPr>
        <w:spacing w:after="0" w:line="16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annual report on Form 10-K; and</w:t>
      </w:r>
    </w:p>
    <w:p>
      <w:pPr>
        <w:spacing w:after="0" w:line="225" w:lineRule="exact"/>
        <w:rPr>
          <w:rFonts w:ascii="Times New Roman" w:cs="Times New Roman" w:eastAsia="Times New Roman" w:hAnsi="Times New Roman"/>
          <w:sz w:val="18"/>
          <w:szCs w:val="18"/>
          <w:color w:val="auto"/>
        </w:rPr>
      </w:pPr>
    </w:p>
    <w:p>
      <w:pPr>
        <w:ind w:left="1300" w:right="280" w:hanging="320"/>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162"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As a result, our stockholders may not have access to certain information they may deem important. We could be an emerging growth company for up to five years, although circumstances could cause us to lose that status earlier, including if our total annual gross revenues exceed $1.07 billion, if we issue more than $1.0 billion in non-convertible debt securities during any three-year period, or if we are a large accelerated filer and the market value of our common stock held by non-affiliates exceeds $700 million as of the end of any second quarter before that time. 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firstLine="881"/>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elected to use the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79"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becoming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175" w:lineRule="exact"/>
        <w:rPr>
          <w:sz w:val="20"/>
          <w:szCs w:val="20"/>
          <w:color w:val="auto"/>
        </w:rPr>
      </w:pPr>
    </w:p>
    <w:p>
      <w:pPr>
        <w:ind w:right="160" w:firstLine="881"/>
        <w:spacing w:after="0" w:line="256" w:lineRule="auto"/>
        <w:rPr>
          <w:sz w:val="20"/>
          <w:szCs w:val="20"/>
          <w:color w:val="auto"/>
        </w:rPr>
      </w:pPr>
      <w:r>
        <w:rPr>
          <w:rFonts w:ascii="Times New Roman" w:cs="Times New Roman" w:eastAsia="Times New Roman" w:hAnsi="Times New Roman"/>
          <w:sz w:val="18"/>
          <w:szCs w:val="18"/>
          <w:color w:val="auto"/>
        </w:rPr>
        <w:t>We will be required, pursuant to Section 404 of the Sarbanes-Oxley Act, to furnish a report by management on, among other things, the effectiveness of our internal control over financial reporting on an annual basis, beginning with our 2022 fiscal year. This assessment will need to include disclosure of any material weaknesses identified by our management in our internal control over financial reporting. Our independent registered public accounting firm will not be required to attest to the effectiveness of our internal control over financial reporting until our first annual report required to be filed with the SEC following the date we are no longer an “emerging growth company,” as defined in the JOBS Act. We will be required to disclose significant changes made in our internal control procedures on a quarterly basis.</w:t>
      </w:r>
    </w:p>
    <w:p>
      <w:pPr>
        <w:spacing w:after="0" w:line="187" w:lineRule="exact"/>
        <w:rPr>
          <w:sz w:val="20"/>
          <w:szCs w:val="20"/>
          <w:color w:val="auto"/>
        </w:rPr>
      </w:pPr>
    </w:p>
    <w:p>
      <w:pPr>
        <w:ind w:right="80" w:firstLine="881"/>
        <w:spacing w:after="0" w:line="261" w:lineRule="auto"/>
        <w:rPr>
          <w:sz w:val="20"/>
          <w:szCs w:val="20"/>
          <w:color w:val="auto"/>
        </w:rPr>
      </w:pPr>
      <w:r>
        <w:rPr>
          <w:rFonts w:ascii="Times New Roman" w:cs="Times New Roman" w:eastAsia="Times New Roman" w:hAnsi="Times New Roman"/>
          <w:sz w:val="18"/>
          <w:szCs w:val="18"/>
          <w:color w:val="auto"/>
        </w:rPr>
        <w:t>Our compliance with Section 404 will require that we incur substantial accounting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80" w:lineRule="exact"/>
        <w:rPr>
          <w:sz w:val="20"/>
          <w:szCs w:val="20"/>
          <w:color w:val="auto"/>
        </w:rPr>
      </w:pPr>
    </w:p>
    <w:p>
      <w:pPr>
        <w:ind w:right="80" w:firstLine="881"/>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and operating results.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securities issuances could result in significant dilution to our stockholders and impair the market price of our common stock.</w:t>
      </w:r>
    </w:p>
    <w:p>
      <w:pPr>
        <w:spacing w:after="0" w:line="229" w:lineRule="exact"/>
        <w:rPr>
          <w:sz w:val="20"/>
          <w:szCs w:val="20"/>
          <w:color w:val="auto"/>
        </w:rPr>
      </w:pPr>
    </w:p>
    <w:p>
      <w:pPr>
        <w:ind w:firstLine="881"/>
        <w:spacing w:after="0" w:line="256" w:lineRule="auto"/>
        <w:rPr>
          <w:sz w:val="20"/>
          <w:szCs w:val="20"/>
          <w:color w:val="auto"/>
        </w:rPr>
      </w:pPr>
      <w:r>
        <w:rPr>
          <w:rFonts w:ascii="Times New Roman" w:cs="Times New Roman" w:eastAsia="Times New Roman" w:hAnsi="Times New Roman"/>
          <w:sz w:val="18"/>
          <w:szCs w:val="18"/>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bear the risk that future issuances of debt or equity securities may reduce the value of our common stock and further dilute their ownership interest.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as a public company requires us to incur substantial costs and will require substantial management attention.</w:t>
      </w:r>
    </w:p>
    <w:p>
      <w:pPr>
        <w:spacing w:after="0" w:line="229" w:lineRule="exact"/>
        <w:rPr>
          <w:sz w:val="20"/>
          <w:szCs w:val="20"/>
          <w:color w:val="auto"/>
        </w:rPr>
      </w:pPr>
    </w:p>
    <w:p>
      <w:pPr>
        <w:ind w:right="60" w:firstLine="881"/>
        <w:spacing w:after="0" w:line="256" w:lineRule="auto"/>
        <w:rPr>
          <w:sz w:val="20"/>
          <w:szCs w:val="20"/>
          <w:color w:val="auto"/>
        </w:rPr>
      </w:pPr>
      <w:r>
        <w:rPr>
          <w:rFonts w:ascii="Times New Roman" w:cs="Times New Roman" w:eastAsia="Times New Roman" w:hAnsi="Times New Roman"/>
          <w:sz w:val="18"/>
          <w:szCs w:val="18"/>
          <w:color w:val="auto"/>
        </w:rPr>
        <w:t>As a public company, we will incur substantial legal, accounting and other expenses that we did not incur as a private company. For example, we will be subject to the reporting requirements of the Exchange Act, the applicable requirements of the Sarbanes-Oxley Act and the Dodd-Frank Wall Street Reform and Consumer Protection Act, the rules and regulations of the SEC, and the rules and regulations of The Nasdaq Global Select Market. As part of the new requirements, we will need to establish and maintain effective disclosure and financial controls and make changes to our corporate governance practices. Compliance with these requirements will increase our legal and financial compliance costs and will make some activities more time-consuming.</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firstLine="881"/>
        <w:spacing w:after="0" w:line="261" w:lineRule="auto"/>
        <w:rPr>
          <w:sz w:val="20"/>
          <w:szCs w:val="20"/>
          <w:color w:val="auto"/>
        </w:rPr>
      </w:pPr>
      <w:r>
        <w:rPr>
          <w:rFonts w:ascii="Times New Roman" w:cs="Times New Roman" w:eastAsia="Times New Roman" w:hAnsi="Times New Roman"/>
          <w:sz w:val="18"/>
          <w:szCs w:val="18"/>
          <w:color w:val="auto"/>
        </w:rPr>
        <w:t>Our management and other personnel divert attention from other business matters to devote substantial time to the reporting and other requirements of being a public company. In particular, we incur significant expense and devote substantial management effort to complying with the requirements of Section 404 of the Sarbanes-Oxley Act. We are in the process of hiring additional accounting and financial staff with appropriate public company experience and technical accounting knowledge.</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bylaws could make a merger, tender offer or proxy contest difficult, thereby depressing the trading price of our common stock.</w:t>
      </w:r>
    </w:p>
    <w:p>
      <w:pPr>
        <w:spacing w:after="0" w:line="159" w:lineRule="exact"/>
        <w:rPr>
          <w:sz w:val="20"/>
          <w:szCs w:val="20"/>
          <w:color w:val="auto"/>
        </w:rPr>
      </w:pPr>
    </w:p>
    <w:p>
      <w:pPr>
        <w:ind w:right="120" w:firstLine="881"/>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76"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of directors are elected at one time;</w:t>
      </w:r>
    </w:p>
    <w:p>
      <w:pPr>
        <w:spacing w:after="0" w:line="21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newly-created directorships;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amended and restated certificate of incorporation and bylaws;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special meetings of stockholders;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alter or repeal our bylaws;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forum for certain litigation against us to Delaware; and</w:t>
      </w:r>
    </w:p>
    <w:p>
      <w:pPr>
        <w:spacing w:after="0" w:line="225"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ind w:right="80" w:firstLine="881"/>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75"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881"/>
        <w:spacing w:after="0" w:line="282" w:lineRule="auto"/>
        <w:rPr>
          <w:sz w:val="20"/>
          <w:szCs w:val="20"/>
          <w:color w:val="auto"/>
        </w:rPr>
      </w:pPr>
      <w:r>
        <w:rPr>
          <w:rFonts w:ascii="Times New Roman" w:cs="Times New Roman" w:eastAsia="Times New Roman" w:hAnsi="Times New Roman"/>
          <w:sz w:val="18"/>
          <w:szCs w:val="18"/>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62" w:lineRule="exact"/>
        <w:rPr>
          <w:sz w:val="20"/>
          <w:szCs w:val="20"/>
          <w:color w:val="auto"/>
        </w:rPr>
      </w:pPr>
    </w:p>
    <w:p>
      <w:pPr>
        <w:ind w:right="80" w:firstLine="881"/>
        <w:spacing w:after="0" w:line="261"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spacing w:after="0" w:line="180" w:lineRule="exact"/>
        <w:rPr>
          <w:sz w:val="20"/>
          <w:szCs w:val="20"/>
          <w:color w:val="auto"/>
        </w:rPr>
      </w:pPr>
    </w:p>
    <w:p>
      <w:pPr>
        <w:ind w:right="60" w:firstLine="881"/>
        <w:spacing w:after="0" w:line="258"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jc w:val="center"/>
        <w:ind w:right="90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our IPO</w:t>
      </w:r>
    </w:p>
    <w:p>
      <w:pPr>
        <w:spacing w:after="0" w:line="229"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On July 16, 2020, we completed our IPO, selling 9,269,000 shares of our common stock at a price of $31.00 per share (including shares subject to the underwriters’ over-allotment option) for an aggregate price of $287.3 million. The offer and sale of the shares in the IPO was registered under the Securities Act pursuant to a registration statement on Form S-1 (File No. 333-239335), which was declared effective by the SEC on July 13, 2020. We raised approximately $268.4 million in net proceeds after deducting underwriting discounts and commissions of approximately $18.9 million.</w:t>
      </w:r>
    </w:p>
    <w:p>
      <w:pPr>
        <w:spacing w:after="0" w:line="180"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IPO for general corporate purposes, including working capital and capital expenditures such as additional office facilities. We may also use a portion of the net proceeds to acquire, invest in or obtain rights to complementary technologies, products, services or businesses. The underwriters of the offering were BofA Securities, Inc. and Barclays Capital Inc. No payments were made by us to directors, officers or persons owning ten percent or more of our common stock or to their associates, or to our affiliates, other than payments in the ordinary course of business to officers for salaries.</w:t>
      </w:r>
    </w:p>
    <w:p>
      <w:pPr>
        <w:spacing w:after="0" w:line="183"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the IPO proceeds as described in our final prospectus dated July 13, 2020 and filed with the SEC on July 14, 2020, pursuant to Rule 424(b) of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00"/>
          </w:cols>
          <w:pgMar w:left="320" w:top="121" w:right="379" w:bottom="1440" w:gutter="0" w:footer="0" w:header="0"/>
        </w:sectPr>
      </w:pP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858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63861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86195" cy="8890"/>
                    </a:xfrm>
                    <a:prstGeom prst="rect">
                      <a:avLst/>
                    </a:prstGeom>
                    <a:noFill/>
                  </pic:spPr>
                </pic:pic>
              </a:graphicData>
            </a:graphic>
          </wp:anchor>
        </w:drawing>
      </w:r>
    </w:p>
    <w:p>
      <w:pPr>
        <w:spacing w:after="0" w:line="68" w:lineRule="exact"/>
        <w:rPr>
          <w:sz w:val="20"/>
          <w:szCs w:val="20"/>
          <w:color w:val="auto"/>
        </w:rPr>
      </w:pPr>
    </w:p>
    <w:p>
      <w:pPr>
        <w:ind w:right="380"/>
        <w:spacing w:after="0" w:line="237" w:lineRule="auto"/>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w:t>
        </w:r>
      </w:hyperlink>
      <w:r>
        <w:rPr>
          <w:rFonts w:ascii="Times New Roman" w:cs="Times New Roman" w:eastAsia="Times New Roman" w:hAnsi="Times New Roman"/>
          <w:sz w:val="18"/>
          <w:szCs w:val="18"/>
          <w:u w:val="single" w:color="auto"/>
          <w:color w:val="0000FF"/>
        </w:rPr>
        <w:t xml:space="preserve"> </w:t>
      </w:r>
      <w:hyperlink w:anchor="page59">
        <w:r>
          <w:rPr>
            <w:rFonts w:ascii="Times New Roman" w:cs="Times New Roman" w:eastAsia="Times New Roman" w:hAnsi="Times New Roman"/>
            <w:sz w:val="18"/>
            <w:szCs w:val="18"/>
            <w:u w:val="single" w:color="auto"/>
            <w:color w:val="0000FF"/>
          </w:rPr>
          <w:t>Adopted Pursuant to Section 302 of the Sarbanes-Oxley Act of 2002.</w:t>
        </w:r>
      </w:hyperlink>
    </w:p>
    <w:p>
      <w:pPr>
        <w:spacing w:after="0" w:line="50" w:lineRule="exact"/>
        <w:rPr>
          <w:sz w:val="20"/>
          <w:szCs w:val="20"/>
          <w:color w:val="auto"/>
        </w:rPr>
      </w:pPr>
    </w:p>
    <w:p>
      <w:pPr>
        <w:ind w:right="440"/>
        <w:spacing w:after="0" w:line="237" w:lineRule="auto"/>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Certification of Principal Financial Officer Pursuant to Rules 13a-14(a) and 15d-14(a) under the Securities Exchange Act of 1934, as</w:t>
        </w:r>
      </w:hyperlink>
      <w:r>
        <w:rPr>
          <w:rFonts w:ascii="Times New Roman" w:cs="Times New Roman" w:eastAsia="Times New Roman" w:hAnsi="Times New Roman"/>
          <w:sz w:val="18"/>
          <w:szCs w:val="18"/>
          <w:u w:val="single" w:color="auto"/>
          <w:color w:val="0000FF"/>
        </w:rPr>
        <w:t xml:space="preserve"> </w:t>
      </w:r>
      <w:hyperlink w:anchor="page61">
        <w:r>
          <w:rPr>
            <w:rFonts w:ascii="Times New Roman" w:cs="Times New Roman" w:eastAsia="Times New Roman" w:hAnsi="Times New Roman"/>
            <w:sz w:val="18"/>
            <w:szCs w:val="18"/>
            <w:u w:val="single" w:color="auto"/>
            <w:color w:val="0000FF"/>
          </w:rPr>
          <w:t>Adopted Pursuant to Section 302 of the Sarbanes-Oxley Act of 2002.</w:t>
        </w:r>
      </w:hyperlink>
    </w:p>
    <w:p>
      <w:pPr>
        <w:spacing w:after="0" w:line="50" w:lineRule="exact"/>
        <w:rPr>
          <w:sz w:val="20"/>
          <w:szCs w:val="20"/>
          <w:color w:val="auto"/>
        </w:rPr>
      </w:pPr>
    </w:p>
    <w:p>
      <w:pPr>
        <w:ind w:right="400"/>
        <w:spacing w:after="0" w:line="237" w:lineRule="auto"/>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Certification of Principal Executive Officer Pursuant to 18 U.S.C. Section 1350, as Adopted Pursuant to Section 906 of the Sarbanes-</w:t>
        </w:r>
      </w:hyperlink>
      <w:hyperlink w:anchor="page63">
        <w:r>
          <w:rPr>
            <w:rFonts w:ascii="Times New Roman" w:cs="Times New Roman" w:eastAsia="Times New Roman" w:hAnsi="Times New Roman"/>
            <w:sz w:val="18"/>
            <w:szCs w:val="18"/>
            <w:u w:val="single" w:color="auto"/>
            <w:color w:val="0000FF"/>
          </w:rPr>
          <w:t>Oxley Act of 2002.</w:t>
        </w:r>
      </w:hyperlink>
    </w:p>
    <w:p>
      <w:pPr>
        <w:spacing w:after="0" w:line="5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Certification of Principal Financial Officer Pursuant to 18 U.S.C. Section 1350, as Adopted Pursuant to Section 906 of the Sarbanes-Oxley</w:t>
        </w:r>
      </w:hyperlink>
      <w:r>
        <w:rPr>
          <w:rFonts w:ascii="Times New Roman" w:cs="Times New Roman" w:eastAsia="Times New Roman" w:hAnsi="Times New Roman"/>
          <w:sz w:val="18"/>
          <w:szCs w:val="18"/>
          <w:u w:val="single" w:color="auto"/>
          <w:color w:val="0000FF"/>
        </w:rPr>
        <w:t xml:space="preserve"> </w:t>
      </w:r>
      <w:hyperlink w:anchor="page64">
        <w:r>
          <w:rPr>
            <w:rFonts w:ascii="Times New Roman" w:cs="Times New Roman" w:eastAsia="Times New Roman" w:hAnsi="Times New Roman"/>
            <w:sz w:val="18"/>
            <w:szCs w:val="18"/>
            <w:u w:val="single" w:color="auto"/>
            <w:color w:val="0000FF"/>
          </w:rPr>
          <w:t>Act of 2002.</w:t>
        </w:r>
      </w:hyperlink>
    </w:p>
    <w:p>
      <w:pPr>
        <w:spacing w:after="0" w:line="64" w:lineRule="exact"/>
        <w:rPr>
          <w:sz w:val="20"/>
          <w:szCs w:val="20"/>
          <w:color w:val="auto"/>
        </w:rPr>
      </w:pPr>
    </w:p>
    <w:p>
      <w:pPr>
        <w:sectPr>
          <w:pgSz w:w="11900" w:h="16838" w:orient="portrait"/>
          <w:cols w:equalWidth="0" w:num="2">
            <w:col w:w="540" w:space="660"/>
            <w:col w:w="10000"/>
          </w:cols>
          <w:pgMar w:left="320" w:top="121" w:right="37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 Document</w:t>
            </w:r>
          </w:p>
        </w:tc>
      </w:tr>
      <w:tr>
        <w:trPr>
          <w:trHeight w:val="324"/>
        </w:trPr>
        <w:tc>
          <w:tcPr>
            <w:tcW w:w="11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0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229" w:lineRule="exact"/>
        <w:rPr>
          <w:sz w:val="20"/>
          <w:szCs w:val="20"/>
          <w:color w:val="auto"/>
        </w:rPr>
      </w:pPr>
    </w:p>
    <w:p>
      <w:pPr>
        <w:ind w:left="20"/>
        <w:spacing w:after="0"/>
        <w:tabs>
          <w:tab w:leader="none" w:pos="6320" w:val="left"/>
          <w:tab w:leader="none" w:pos="6860" w:val="left"/>
        </w:tabs>
        <w:rPr>
          <w:sz w:val="20"/>
          <w:szCs w:val="20"/>
          <w:color w:val="auto"/>
        </w:rPr>
      </w:pPr>
      <w:r>
        <w:rPr>
          <w:rFonts w:ascii="Times New Roman" w:cs="Times New Roman" w:eastAsia="Times New Roman" w:hAnsi="Times New Roman"/>
          <w:sz w:val="18"/>
          <w:szCs w:val="18"/>
          <w:color w:val="auto"/>
        </w:rPr>
        <w:t>Date: September 10,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34290</wp:posOffset>
            </wp:positionV>
            <wp:extent cx="27774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Pierre Naudé</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1" w:lineRule="exact"/>
        <w:rPr>
          <w:sz w:val="20"/>
          <w:szCs w:val="20"/>
          <w:color w:val="auto"/>
        </w:rPr>
      </w:pPr>
    </w:p>
    <w:p>
      <w:pPr>
        <w:ind w:left="20"/>
        <w:spacing w:after="0"/>
        <w:tabs>
          <w:tab w:leader="none" w:pos="6320" w:val="left"/>
          <w:tab w:leader="none" w:pos="6860" w:val="left"/>
        </w:tabs>
        <w:rPr>
          <w:sz w:val="20"/>
          <w:szCs w:val="20"/>
          <w:color w:val="auto"/>
        </w:rPr>
      </w:pPr>
      <w:r>
        <w:rPr>
          <w:rFonts w:ascii="Times New Roman" w:cs="Times New Roman" w:eastAsia="Times New Roman" w:hAnsi="Times New Roman"/>
          <w:sz w:val="18"/>
          <w:szCs w:val="18"/>
          <w:color w:val="auto"/>
        </w:rPr>
        <w:t>Date: September 10,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Rudow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34290</wp:posOffset>
            </wp:positionV>
            <wp:extent cx="27774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David Rudow</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420"/>
          </w:cols>
          <w:pgMar w:left="320" w:top="121" w:right="11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Pierre Naudé, certify that:</w:t>
      </w:r>
    </w:p>
    <w:p>
      <w:pPr>
        <w:spacing w:after="0" w:line="243" w:lineRule="exact"/>
        <w:rPr>
          <w:sz w:val="20"/>
          <w:szCs w:val="20"/>
          <w:color w:val="auto"/>
        </w:rPr>
      </w:pPr>
    </w:p>
    <w:p>
      <w:pPr>
        <w:ind w:left="700" w:hanging="692"/>
        <w:spacing w:after="0"/>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nCino, Inc.;</w:t>
      </w:r>
    </w:p>
    <w:p>
      <w:pPr>
        <w:spacing w:after="0" w:line="242" w:lineRule="exact"/>
        <w:rPr>
          <w:rFonts w:ascii="Times New Roman" w:cs="Times New Roman" w:eastAsia="Times New Roman" w:hAnsi="Times New Roman"/>
          <w:sz w:val="20"/>
          <w:szCs w:val="20"/>
          <w:color w:val="auto"/>
        </w:rPr>
      </w:pPr>
    </w:p>
    <w:p>
      <w:pPr>
        <w:ind w:left="660" w:right="40" w:hanging="652"/>
        <w:spacing w:after="0" w:line="254" w:lineRule="auto"/>
        <w:tabs>
          <w:tab w:leader="none" w:pos="6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20"/>
          <w:szCs w:val="20"/>
          <w:color w:val="auto"/>
        </w:rPr>
      </w:pPr>
    </w:p>
    <w:p>
      <w:pPr>
        <w:ind w:left="660" w:right="20" w:hanging="652"/>
        <w:spacing w:after="0" w:line="254" w:lineRule="auto"/>
        <w:tabs>
          <w:tab w:leader="none" w:pos="6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Times New Roman" w:cs="Times New Roman" w:eastAsia="Times New Roman" w:hAnsi="Times New Roman"/>
          <w:sz w:val="20"/>
          <w:szCs w:val="20"/>
          <w:color w:val="auto"/>
        </w:rPr>
      </w:pPr>
    </w:p>
    <w:p>
      <w:pPr>
        <w:ind w:left="660" w:right="220" w:hanging="652"/>
        <w:spacing w:after="0" w:line="254" w:lineRule="auto"/>
        <w:tabs>
          <w:tab w:leader="none" w:pos="6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Times New Roman" w:cs="Times New Roman" w:eastAsia="Times New Roman" w:hAnsi="Times New Roman"/>
          <w:sz w:val="20"/>
          <w:szCs w:val="20"/>
          <w:color w:val="auto"/>
        </w:rPr>
      </w:pPr>
    </w:p>
    <w:p>
      <w:pPr>
        <w:ind w:left="1300" w:right="100" w:hanging="644"/>
        <w:spacing w:after="0" w:line="254" w:lineRule="auto"/>
        <w:tabs>
          <w:tab w:leader="none" w:pos="129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20"/>
          <w:szCs w:val="20"/>
          <w:color w:val="auto"/>
        </w:rPr>
      </w:pPr>
    </w:p>
    <w:p>
      <w:pPr>
        <w:ind w:left="1300" w:right="560" w:hanging="644"/>
        <w:spacing w:after="0" w:line="274" w:lineRule="auto"/>
        <w:tabs>
          <w:tab w:leader="none" w:pos="1288"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Times New Roman" w:cs="Times New Roman" w:eastAsia="Times New Roman" w:hAnsi="Times New Roman"/>
          <w:sz w:val="19"/>
          <w:szCs w:val="19"/>
          <w:color w:val="auto"/>
        </w:rPr>
      </w:pPr>
    </w:p>
    <w:p>
      <w:pPr>
        <w:jc w:val="both"/>
        <w:ind w:left="1300" w:right="80" w:hanging="644"/>
        <w:spacing w:after="0" w:line="254" w:lineRule="auto"/>
        <w:tabs>
          <w:tab w:leader="none" w:pos="129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Times New Roman" w:cs="Times New Roman" w:eastAsia="Times New Roman" w:hAnsi="Times New Roman"/>
          <w:sz w:val="20"/>
          <w:szCs w:val="20"/>
          <w:color w:val="auto"/>
        </w:rPr>
      </w:pPr>
    </w:p>
    <w:p>
      <w:pPr>
        <w:ind w:left="1300" w:right="120" w:hanging="644"/>
        <w:spacing w:after="0" w:line="274" w:lineRule="auto"/>
        <w:tabs>
          <w:tab w:leader="none" w:pos="1288"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59" w:name="page60"/>
    <w:bookmarkEnd w:id="59"/>
    <w:p>
      <w:pPr>
        <w:ind w:left="652" w:hanging="652"/>
        <w:spacing w:after="0" w:line="254" w:lineRule="auto"/>
        <w:tabs>
          <w:tab w:leader="none" w:pos="65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Times New Roman" w:cs="Times New Roman" w:eastAsia="Times New Roman" w:hAnsi="Times New Roman"/>
          <w:sz w:val="20"/>
          <w:szCs w:val="20"/>
          <w:color w:val="auto"/>
        </w:rPr>
      </w:pPr>
    </w:p>
    <w:p>
      <w:pPr>
        <w:ind w:left="1292" w:right="260" w:hanging="644"/>
        <w:spacing w:after="0" w:line="254" w:lineRule="auto"/>
        <w:tabs>
          <w:tab w:leader="none" w:pos="1282"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Times New Roman" w:cs="Times New Roman" w:eastAsia="Times New Roman" w:hAnsi="Times New Roman"/>
          <w:sz w:val="20"/>
          <w:szCs w:val="20"/>
          <w:color w:val="auto"/>
        </w:rPr>
      </w:pPr>
    </w:p>
    <w:p>
      <w:pPr>
        <w:ind w:left="1292" w:right="680" w:hanging="644"/>
        <w:spacing w:after="0" w:line="269" w:lineRule="auto"/>
        <w:tabs>
          <w:tab w:leader="none" w:pos="128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p>
      <w:pPr>
        <w:ind w:left="12"/>
        <w:spacing w:after="0"/>
        <w:tabs>
          <w:tab w:leader="none" w:pos="5692" w:val="left"/>
          <w:tab w:leader="none" w:pos="8052" w:val="left"/>
        </w:tabs>
        <w:rPr>
          <w:sz w:val="20"/>
          <w:szCs w:val="20"/>
          <w:color w:val="auto"/>
        </w:rPr>
      </w:pPr>
      <w:r>
        <w:rPr>
          <w:rFonts w:ascii="Times New Roman" w:cs="Times New Roman" w:eastAsia="Times New Roman" w:hAnsi="Times New Roman"/>
          <w:sz w:val="20"/>
          <w:szCs w:val="20"/>
          <w:color w:val="auto"/>
        </w:rPr>
        <w:t>Date: September 10, 2020</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31115</wp:posOffset>
            </wp:positionV>
            <wp:extent cx="28975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4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20"/>
          <w:szCs w:val="20"/>
          <w:color w:val="auto"/>
        </w:rPr>
        <w:t>Pierre Naudé</w:t>
      </w:r>
    </w:p>
    <w:p>
      <w:pPr>
        <w:spacing w:after="0" w:line="54"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1152"/>
          </w:cols>
          <w:pgMar w:left="328" w:top="1413" w:right="4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Rudow, certify that:</w:t>
      </w:r>
    </w:p>
    <w:p>
      <w:pPr>
        <w:spacing w:after="0" w:line="243" w:lineRule="exact"/>
        <w:rPr>
          <w:sz w:val="20"/>
          <w:szCs w:val="20"/>
          <w:color w:val="auto"/>
        </w:rPr>
      </w:pPr>
    </w:p>
    <w:p>
      <w:pPr>
        <w:ind w:left="700" w:hanging="692"/>
        <w:spacing w:after="0"/>
        <w:tabs>
          <w:tab w:leader="none" w:pos="7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nCino, Inc.;</w:t>
      </w:r>
    </w:p>
    <w:p>
      <w:pPr>
        <w:spacing w:after="0" w:line="242" w:lineRule="exact"/>
        <w:rPr>
          <w:rFonts w:ascii="Times New Roman" w:cs="Times New Roman" w:eastAsia="Times New Roman" w:hAnsi="Times New Roman"/>
          <w:sz w:val="20"/>
          <w:szCs w:val="20"/>
          <w:color w:val="auto"/>
        </w:rPr>
      </w:pPr>
    </w:p>
    <w:p>
      <w:pPr>
        <w:ind w:left="660" w:right="40" w:hanging="652"/>
        <w:spacing w:after="0" w:line="254" w:lineRule="auto"/>
        <w:tabs>
          <w:tab w:leader="none" w:pos="6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20"/>
          <w:szCs w:val="20"/>
          <w:color w:val="auto"/>
        </w:rPr>
      </w:pPr>
    </w:p>
    <w:p>
      <w:pPr>
        <w:ind w:left="660" w:right="20" w:hanging="652"/>
        <w:spacing w:after="0" w:line="254" w:lineRule="auto"/>
        <w:tabs>
          <w:tab w:leader="none" w:pos="6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Times New Roman" w:cs="Times New Roman" w:eastAsia="Times New Roman" w:hAnsi="Times New Roman"/>
          <w:sz w:val="20"/>
          <w:szCs w:val="20"/>
          <w:color w:val="auto"/>
        </w:rPr>
      </w:pPr>
    </w:p>
    <w:p>
      <w:pPr>
        <w:ind w:left="660" w:right="220" w:hanging="652"/>
        <w:spacing w:after="0" w:line="254" w:lineRule="auto"/>
        <w:tabs>
          <w:tab w:leader="none" w:pos="6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Times New Roman" w:cs="Times New Roman" w:eastAsia="Times New Roman" w:hAnsi="Times New Roman"/>
          <w:sz w:val="20"/>
          <w:szCs w:val="20"/>
          <w:color w:val="auto"/>
        </w:rPr>
      </w:pPr>
    </w:p>
    <w:p>
      <w:pPr>
        <w:ind w:left="1300" w:right="100" w:hanging="644"/>
        <w:spacing w:after="0" w:line="254" w:lineRule="auto"/>
        <w:tabs>
          <w:tab w:leader="none" w:pos="1289"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20"/>
          <w:szCs w:val="20"/>
          <w:color w:val="auto"/>
        </w:rPr>
      </w:pPr>
    </w:p>
    <w:p>
      <w:pPr>
        <w:ind w:left="1300" w:right="560" w:hanging="644"/>
        <w:spacing w:after="0" w:line="274" w:lineRule="auto"/>
        <w:tabs>
          <w:tab w:leader="none" w:pos="1300"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Times New Roman" w:cs="Times New Roman" w:eastAsia="Times New Roman" w:hAnsi="Times New Roman"/>
          <w:sz w:val="19"/>
          <w:szCs w:val="19"/>
          <w:color w:val="auto"/>
        </w:rPr>
      </w:pPr>
    </w:p>
    <w:p>
      <w:pPr>
        <w:jc w:val="both"/>
        <w:ind w:left="1300" w:right="80" w:hanging="644"/>
        <w:spacing w:after="0" w:line="254" w:lineRule="auto"/>
        <w:tabs>
          <w:tab w:leader="none" w:pos="1289"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Times New Roman" w:cs="Times New Roman" w:eastAsia="Times New Roman" w:hAnsi="Times New Roman"/>
          <w:sz w:val="20"/>
          <w:szCs w:val="20"/>
          <w:color w:val="auto"/>
        </w:rPr>
      </w:pPr>
    </w:p>
    <w:p>
      <w:pPr>
        <w:ind w:left="1300" w:right="120" w:hanging="644"/>
        <w:spacing w:after="0" w:line="274" w:lineRule="auto"/>
        <w:tabs>
          <w:tab w:leader="none" w:pos="1300"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61" w:name="page62"/>
    <w:bookmarkEnd w:id="61"/>
    <w:p>
      <w:pPr>
        <w:ind w:left="652" w:hanging="652"/>
        <w:spacing w:after="0" w:line="254" w:lineRule="auto"/>
        <w:tabs>
          <w:tab w:leader="none" w:pos="65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Times New Roman" w:cs="Times New Roman" w:eastAsia="Times New Roman" w:hAnsi="Times New Roman"/>
          <w:sz w:val="20"/>
          <w:szCs w:val="20"/>
          <w:color w:val="auto"/>
        </w:rPr>
      </w:pPr>
    </w:p>
    <w:p>
      <w:pPr>
        <w:ind w:left="1292" w:right="260" w:hanging="644"/>
        <w:spacing w:after="0" w:line="254" w:lineRule="auto"/>
        <w:tabs>
          <w:tab w:leader="none" w:pos="1281"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Times New Roman" w:cs="Times New Roman" w:eastAsia="Times New Roman" w:hAnsi="Times New Roman"/>
          <w:sz w:val="20"/>
          <w:szCs w:val="20"/>
          <w:color w:val="auto"/>
        </w:rPr>
      </w:pPr>
    </w:p>
    <w:p>
      <w:pPr>
        <w:ind w:left="1292" w:right="680" w:hanging="644"/>
        <w:spacing w:after="0" w:line="269" w:lineRule="auto"/>
        <w:tabs>
          <w:tab w:leader="none" w:pos="1286"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p>
      <w:pPr>
        <w:ind w:left="12"/>
        <w:spacing w:after="0"/>
        <w:tabs>
          <w:tab w:leader="none" w:pos="5692" w:val="left"/>
          <w:tab w:leader="none" w:pos="8012" w:val="left"/>
        </w:tabs>
        <w:rPr>
          <w:sz w:val="20"/>
          <w:szCs w:val="20"/>
          <w:color w:val="auto"/>
        </w:rPr>
      </w:pPr>
      <w:r>
        <w:rPr>
          <w:rFonts w:ascii="Times New Roman" w:cs="Times New Roman" w:eastAsia="Times New Roman" w:hAnsi="Times New Roman"/>
          <w:sz w:val="20"/>
          <w:szCs w:val="20"/>
          <w:color w:val="auto"/>
        </w:rPr>
        <w:t>Date: September 10, 2020</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David Rudow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31115</wp:posOffset>
            </wp:positionV>
            <wp:extent cx="28975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4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20"/>
          <w:szCs w:val="20"/>
          <w:color w:val="auto"/>
        </w:rPr>
        <w:t>David Rudow</w:t>
      </w:r>
    </w:p>
    <w:p>
      <w:pPr>
        <w:spacing w:after="0" w:line="54"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20"/>
          <w:szCs w:val="20"/>
          <w:color w:val="auto"/>
        </w:rPr>
        <w:t>Chief Financial Officer</w:t>
      </w:r>
    </w:p>
    <w:p>
      <w:pPr>
        <w:sectPr>
          <w:pgSz w:w="11900" w:h="16838" w:orient="portrait"/>
          <w:cols w:equalWidth="0" w:num="1">
            <w:col w:w="11152"/>
          </w:cols>
          <w:pgMar w:left="328" w:top="1413" w:right="4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4" w:lineRule="exact"/>
        <w:rPr>
          <w:sz w:val="20"/>
          <w:szCs w:val="20"/>
          <w:color w:val="auto"/>
        </w:rPr>
      </w:pPr>
    </w:p>
    <w:p>
      <w:pPr>
        <w:ind w:right="100" w:firstLine="516"/>
        <w:spacing w:after="0" w:line="254" w:lineRule="auto"/>
        <w:rPr>
          <w:sz w:val="20"/>
          <w:szCs w:val="20"/>
          <w:color w:val="auto"/>
        </w:rPr>
      </w:pPr>
      <w:r>
        <w:rPr>
          <w:rFonts w:ascii="Times New Roman" w:cs="Times New Roman" w:eastAsia="Times New Roman" w:hAnsi="Times New Roman"/>
          <w:sz w:val="20"/>
          <w:szCs w:val="20"/>
          <w:color w:val="auto"/>
        </w:rPr>
        <w:t>In connection with the Quarterly Report of nCino, Inc. (the “Company”) on Form 10-Q for the period ending July 31, 2020 as filed with the Securities and Exchange Commission on the date hereof (the “Report”), I certify, pursuant to 18 U.S.C. § 1350, as adopted pursuant to § 906 of the Sarbanes-Oxley Act of 2002, that, to my knowledge:</w:t>
      </w:r>
    </w:p>
    <w:p>
      <w:pPr>
        <w:spacing w:after="0" w:line="174" w:lineRule="exact"/>
        <w:rPr>
          <w:sz w:val="20"/>
          <w:szCs w:val="20"/>
          <w:color w:val="auto"/>
        </w:rPr>
      </w:pPr>
    </w:p>
    <w:p>
      <w:pPr>
        <w:ind w:left="1300" w:hanging="776"/>
        <w:spacing w:after="0"/>
        <w:tabs>
          <w:tab w:leader="none" w:pos="1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776"/>
        <w:spacing w:after="0" w:line="269" w:lineRule="auto"/>
        <w:tabs>
          <w:tab w:leader="none" w:pos="129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5700" w:val="left"/>
          <w:tab w:leader="none" w:pos="8060" w:val="left"/>
        </w:tabs>
        <w:rPr>
          <w:sz w:val="20"/>
          <w:szCs w:val="20"/>
          <w:color w:val="auto"/>
        </w:rPr>
      </w:pPr>
      <w:r>
        <w:rPr>
          <w:rFonts w:ascii="Times New Roman" w:cs="Times New Roman" w:eastAsia="Times New Roman" w:hAnsi="Times New Roman"/>
          <w:sz w:val="20"/>
          <w:szCs w:val="20"/>
          <w:color w:val="auto"/>
        </w:rPr>
        <w:t>Date: September 10, 2020</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31115</wp:posOffset>
            </wp:positionV>
            <wp:extent cx="28975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4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20"/>
          <w:szCs w:val="20"/>
          <w:color w:val="auto"/>
        </w:rPr>
        <w:t>Pierre Naudé</w:t>
      </w:r>
    </w:p>
    <w:p>
      <w:pPr>
        <w:spacing w:after="0" w:line="54"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1240"/>
          </w:cols>
          <w:pgMar w:left="320" w:top="1413"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4" w:lineRule="exact"/>
        <w:rPr>
          <w:sz w:val="20"/>
          <w:szCs w:val="20"/>
          <w:color w:val="auto"/>
        </w:rPr>
      </w:pPr>
    </w:p>
    <w:p>
      <w:pPr>
        <w:ind w:right="100" w:firstLine="516"/>
        <w:spacing w:after="0" w:line="254" w:lineRule="auto"/>
        <w:rPr>
          <w:sz w:val="20"/>
          <w:szCs w:val="20"/>
          <w:color w:val="auto"/>
        </w:rPr>
      </w:pPr>
      <w:r>
        <w:rPr>
          <w:rFonts w:ascii="Times New Roman" w:cs="Times New Roman" w:eastAsia="Times New Roman" w:hAnsi="Times New Roman"/>
          <w:sz w:val="20"/>
          <w:szCs w:val="20"/>
          <w:color w:val="auto"/>
        </w:rPr>
        <w:t>In connection with the Quarterly Report of nCino, Inc. (the “Company”) on Form 10-Q for the period ending July 31, 2020 as filed with the Securities and Exchange Commission on the date hereof (the “Report”), I certify, pursuant to 18 U.S.C. § 1350, as adopted pursuant to § 906 of the Sarbanes-Oxley Act of 2002, that, to my knowledge:</w:t>
      </w:r>
    </w:p>
    <w:p>
      <w:pPr>
        <w:spacing w:after="0" w:line="174" w:lineRule="exact"/>
        <w:rPr>
          <w:sz w:val="20"/>
          <w:szCs w:val="20"/>
          <w:color w:val="auto"/>
        </w:rPr>
      </w:pPr>
    </w:p>
    <w:p>
      <w:pPr>
        <w:ind w:left="1300" w:hanging="776"/>
        <w:spacing w:after="0"/>
        <w:tabs>
          <w:tab w:leader="none" w:pos="13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776"/>
        <w:spacing w:after="0" w:line="269" w:lineRule="auto"/>
        <w:tabs>
          <w:tab w:leader="none" w:pos="129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5700" w:val="left"/>
          <w:tab w:leader="none" w:pos="8020" w:val="left"/>
        </w:tabs>
        <w:rPr>
          <w:sz w:val="20"/>
          <w:szCs w:val="20"/>
          <w:color w:val="auto"/>
        </w:rPr>
      </w:pPr>
      <w:r>
        <w:rPr>
          <w:rFonts w:ascii="Times New Roman" w:cs="Times New Roman" w:eastAsia="Times New Roman" w:hAnsi="Times New Roman"/>
          <w:sz w:val="20"/>
          <w:szCs w:val="20"/>
          <w:color w:val="auto"/>
        </w:rPr>
        <w:t>Date: September 10, 2020</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David Rudow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31115</wp:posOffset>
            </wp:positionV>
            <wp:extent cx="28975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4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20"/>
          <w:szCs w:val="20"/>
          <w:color w:val="auto"/>
        </w:rPr>
        <w:t>David Rudow</w:t>
      </w:r>
    </w:p>
    <w:p>
      <w:pPr>
        <w:spacing w:after="0" w:line="54"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20"/>
          <w:szCs w:val="20"/>
          <w:color w:val="auto"/>
        </w:rPr>
        <w:t>Chief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lvl w:ilvl="1">
      <w:lvlJc w:val="left"/>
      <w:lvlText w:val="(%2)"/>
      <w:numFmt w:val="lowerLetter"/>
      <w:start w:val="1"/>
    </w:lvl>
  </w:abstractNum>
  <w:abstractNum w:abstractNumId="15">
    <w:nsid w:val="431BD7B7"/>
    <w:multiLevelType w:val="hybridMultilevel"/>
    <w:lvl w:ilvl="0">
      <w:lvlJc w:val="left"/>
      <w:lvlText w:val="%1."/>
      <w:numFmt w:val="decimal"/>
      <w:start w:val="5"/>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5"/>
    </w:lvl>
    <w:lvl w:ilvl="1">
      <w:lvlJc w:val="left"/>
      <w:lvlText w:val="%2."/>
      <w:numFmt w:val="lowerLetter"/>
      <w:start w:val="5"/>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2020-09-10T07:17:25Z</dcterms:created>
  <dcterms:modified xsi:type="dcterms:W3CDTF">2020-09-10T07:17:25Z</dcterms:modified>
</cp:coreProperties>
</file>