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2100" w:hanging="271"/>
        <w:spacing w:after="0"/>
        <w:tabs>
          <w:tab w:leader="none" w:pos="21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366" w:lineRule="exact"/>
        <w:rPr>
          <w:sz w:val="24"/>
          <w:szCs w:val="24"/>
          <w:color w:val="auto"/>
        </w:rPr>
      </w:pPr>
    </w:p>
    <w:p>
      <w:pPr>
        <w:ind w:left="4460" w:right="1720" w:hanging="2635"/>
        <w:spacing w:after="0" w:line="271" w:lineRule="auto"/>
        <w:tabs>
          <w:tab w:leader="none" w:pos="2106"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2940" w:type="dxa"/>
            <w:vAlign w:val="bottom"/>
          </w:tcPr>
          <w:p>
            <w:pPr>
              <w:spacing w:after="0"/>
              <w:rPr>
                <w:sz w:val="20"/>
                <w:szCs w:val="20"/>
                <w:color w:val="auto"/>
              </w:rPr>
            </w:pPr>
          </w:p>
        </w:tc>
      </w:tr>
      <w:tr>
        <w:trPr>
          <w:trHeight w:val="599"/>
        </w:trPr>
        <w:tc>
          <w:tcPr>
            <w:tcW w:w="3660" w:type="dxa"/>
            <w:vAlign w:val="bottom"/>
          </w:tcPr>
          <w:p>
            <w:pPr>
              <w:spacing w:after="0"/>
              <w:rPr>
                <w:sz w:val="24"/>
                <w:szCs w:val="24"/>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294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940" w:type="dxa"/>
            <w:vAlign w:val="bottom"/>
          </w:tcPr>
          <w:p>
            <w:pPr>
              <w:spacing w:after="0"/>
              <w:rPr>
                <w:sz w:val="16"/>
                <w:szCs w:val="16"/>
                <w:color w:val="auto"/>
              </w:rPr>
            </w:pPr>
          </w:p>
        </w:tc>
      </w:tr>
      <w:tr>
        <w:trPr>
          <w:trHeight w:val="247"/>
        </w:trPr>
        <w:tc>
          <w:tcPr>
            <w:tcW w:w="3660" w:type="dxa"/>
            <w:vAlign w:val="bottom"/>
          </w:tcPr>
          <w:p>
            <w:pPr>
              <w:jc w:val="center"/>
              <w:ind w:left="2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040" w:type="dxa"/>
            <w:vAlign w:val="bottom"/>
          </w:tcPr>
          <w:p>
            <w:pPr>
              <w:spacing w:after="0"/>
              <w:rPr>
                <w:sz w:val="21"/>
                <w:szCs w:val="21"/>
                <w:color w:val="auto"/>
              </w:rPr>
            </w:pPr>
          </w:p>
        </w:tc>
        <w:tc>
          <w:tcPr>
            <w:tcW w:w="2940" w:type="dxa"/>
            <w:vAlign w:val="bottom"/>
          </w:tcPr>
          <w:p>
            <w:pPr>
              <w:jc w:val="center"/>
              <w:ind w:left="323"/>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4040" w:type="dxa"/>
            <w:vAlign w:val="bottom"/>
          </w:tcPr>
          <w:p>
            <w:pPr>
              <w:spacing w:after="0"/>
              <w:rPr>
                <w:sz w:val="14"/>
                <w:szCs w:val="14"/>
                <w:color w:val="auto"/>
              </w:rPr>
            </w:pPr>
          </w:p>
        </w:tc>
        <w:tc>
          <w:tcPr>
            <w:tcW w:w="2940" w:type="dxa"/>
            <w:vAlign w:val="bottom"/>
          </w:tcPr>
          <w:p>
            <w:pPr>
              <w:jc w:val="center"/>
              <w:ind w:left="303"/>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4040" w:type="dxa"/>
            <w:vAlign w:val="bottom"/>
          </w:tcPr>
          <w:p>
            <w:pPr>
              <w:spacing w:after="0"/>
              <w:rPr>
                <w:sz w:val="18"/>
                <w:szCs w:val="18"/>
                <w:color w:val="auto"/>
              </w:rPr>
            </w:pP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3660" w:type="dxa"/>
            <w:vAlign w:val="bottom"/>
          </w:tcPr>
          <w:p>
            <w:pPr>
              <w:spacing w:after="0"/>
              <w:rPr>
                <w:sz w:val="23"/>
                <w:szCs w:val="23"/>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2940" w:type="dxa"/>
            <w:vAlign w:val="bottom"/>
          </w:tcPr>
          <w:p>
            <w:pPr>
              <w:spacing w:after="0"/>
              <w:rPr>
                <w:sz w:val="23"/>
                <w:szCs w:val="23"/>
                <w:color w:val="auto"/>
              </w:rPr>
            </w:pPr>
          </w:p>
        </w:tc>
      </w:tr>
      <w:tr>
        <w:trPr>
          <w:trHeight w:val="180"/>
        </w:trPr>
        <w:tc>
          <w:tcPr>
            <w:tcW w:w="3660" w:type="dxa"/>
            <w:vAlign w:val="bottom"/>
          </w:tcPr>
          <w:p>
            <w:pPr>
              <w:spacing w:after="0"/>
              <w:rPr>
                <w:sz w:val="15"/>
                <w:szCs w:val="15"/>
                <w:color w:val="auto"/>
              </w:rPr>
            </w:pPr>
          </w:p>
        </w:tc>
        <w:tc>
          <w:tcPr>
            <w:tcW w:w="4040" w:type="dxa"/>
            <w:vAlign w:val="bottom"/>
          </w:tcPr>
          <w:p>
            <w:pPr>
              <w:jc w:val="center"/>
              <w:ind w:right="15"/>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2940" w:type="dxa"/>
            <w:vAlign w:val="bottom"/>
          </w:tcPr>
          <w:p>
            <w:pPr>
              <w:spacing w:after="0"/>
              <w:rPr>
                <w:sz w:val="15"/>
                <w:szCs w:val="15"/>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2940" w:type="dxa"/>
            <w:vAlign w:val="bottom"/>
          </w:tcPr>
          <w:p>
            <w:pPr>
              <w:spacing w:after="0"/>
              <w:rPr>
                <w:sz w:val="16"/>
                <w:szCs w:val="16"/>
                <w:color w:val="auto"/>
              </w:rPr>
            </w:pPr>
          </w:p>
        </w:tc>
      </w:tr>
      <w:tr>
        <w:trPr>
          <w:trHeight w:val="498"/>
        </w:trPr>
        <w:tc>
          <w:tcPr>
            <w:tcW w:w="3660" w:type="dxa"/>
            <w:vAlign w:val="bottom"/>
          </w:tcPr>
          <w:p>
            <w:pPr>
              <w:spacing w:after="0"/>
              <w:rPr>
                <w:sz w:val="24"/>
                <w:szCs w:val="24"/>
                <w:color w:val="auto"/>
              </w:rPr>
            </w:pPr>
          </w:p>
        </w:tc>
        <w:tc>
          <w:tcPr>
            <w:tcW w:w="4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2940" w:type="dxa"/>
            <w:vAlign w:val="bottom"/>
          </w:tcPr>
          <w:p>
            <w:pPr>
              <w:spacing w:after="0"/>
              <w:rPr>
                <w:sz w:val="24"/>
                <w:szCs w:val="24"/>
                <w:color w:val="auto"/>
              </w:rPr>
            </w:pPr>
          </w:p>
        </w:tc>
      </w:tr>
      <w:tr>
        <w:trPr>
          <w:trHeight w:val="190"/>
        </w:trPr>
        <w:tc>
          <w:tcPr>
            <w:tcW w:w="3660" w:type="dxa"/>
            <w:vAlign w:val="bottom"/>
          </w:tcPr>
          <w:p>
            <w:pPr>
              <w:spacing w:after="0"/>
              <w:rPr>
                <w:sz w:val="16"/>
                <w:szCs w:val="16"/>
                <w:color w:val="auto"/>
              </w:rPr>
            </w:pPr>
          </w:p>
        </w:tc>
        <w:tc>
          <w:tcPr>
            <w:tcW w:w="4040" w:type="dxa"/>
            <w:vAlign w:val="bottom"/>
          </w:tcPr>
          <w:p>
            <w:pPr>
              <w:jc w:val="center"/>
              <w:ind w:right="35"/>
              <w:spacing w:after="0"/>
              <w:rPr>
                <w:sz w:val="20"/>
                <w:szCs w:val="20"/>
                <w:color w:val="auto"/>
              </w:rPr>
            </w:pPr>
            <w:r>
              <w:rPr>
                <w:rFonts w:ascii="Times New Roman" w:cs="Times New Roman" w:eastAsia="Times New Roman" w:hAnsi="Times New Roman"/>
                <w:sz w:val="14"/>
                <w:szCs w:val="14"/>
                <w:i w:val="1"/>
                <w:i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telephone number, including area code)</w:t>
            </w:r>
          </w:p>
        </w:tc>
        <w:tc>
          <w:tcPr>
            <w:tcW w:w="2940" w:type="dxa"/>
            <w:vAlign w:val="bottom"/>
          </w:tcPr>
          <w:p>
            <w:pPr>
              <w:spacing w:after="0"/>
              <w:rPr>
                <w:sz w:val="16"/>
                <w:szCs w:val="16"/>
                <w:color w:val="auto"/>
              </w:rPr>
            </w:pPr>
          </w:p>
        </w:tc>
      </w:tr>
      <w:tr>
        <w:trPr>
          <w:trHeight w:val="48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0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56"/>
        </w:trPr>
        <w:tc>
          <w:tcPr>
            <w:tcW w:w="3660" w:type="dxa"/>
            <w:vAlign w:val="bottom"/>
          </w:tcPr>
          <w:p>
            <w:pPr>
              <w:jc w:val="center"/>
              <w:ind w:left="4"/>
              <w:spacing w:after="0"/>
              <w:rPr>
                <w:sz w:val="20"/>
                <w:szCs w:val="20"/>
                <w:color w:val="auto"/>
              </w:rPr>
            </w:pPr>
            <w:r>
              <w:rPr>
                <w:rFonts w:ascii="Times New Roman" w:cs="Times New Roman" w:eastAsia="Times New Roman" w:hAnsi="Times New Roman"/>
                <w:sz w:val="14"/>
                <w:szCs w:val="14"/>
                <w:color w:val="auto"/>
              </w:rPr>
              <w:t>Title of each class</w:t>
            </w:r>
          </w:p>
        </w:tc>
        <w:tc>
          <w:tcPr>
            <w:tcW w:w="404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Trading Symbol(s)</w:t>
            </w: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3"/>
        </w:trPr>
        <w:tc>
          <w:tcPr>
            <w:tcW w:w="366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Common stock, par value $0.0005 per share</w:t>
            </w:r>
          </w:p>
        </w:tc>
        <w:tc>
          <w:tcPr>
            <w:tcW w:w="40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NCNO</w:t>
            </w:r>
          </w:p>
        </w:tc>
        <w:tc>
          <w:tcPr>
            <w:tcW w:w="294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325" w:lineRule="exact"/>
        <w:rPr>
          <w:sz w:val="24"/>
          <w:szCs w:val="24"/>
          <w:color w:val="auto"/>
        </w:rPr>
      </w:pPr>
    </w:p>
    <w:p>
      <w:pPr>
        <w:ind w:right="1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4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ind w:right="120"/>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114,684,968 shares of common stock, net of treasury stock, $0.0005 par value per share, as of November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2025 and October 31, 2025 (Unaudited)</w:t>
            </w:r>
          </w:p>
        </w:tc>
        <w:tc>
          <w:tcPr>
            <w:tcW w:w="258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October 31, 2024 and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Nine Months Ended October 31,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2024 and 2025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and Nine Months Ended October 31, 2024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October 31, 2024 and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5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100" w:type="dxa"/>
            <w:vAlign w:val="bottom"/>
            <w:gridSpan w:val="2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027"/>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2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October 31, 2025</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$2,254 and $2,554 at January 31, 2025 and October 31, 2025,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87,590</w:t>
            </w: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allowances of $1,229 and $1,245 at January 31, 2025 and October 31, 2025,</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86,948</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302,249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76,335</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12,926</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1,071,152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and $0 at January 31, 2025 and October 31, 2025, respectively)</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1,561,174</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37,536</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152,065</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208,083</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18,016</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49,776</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512,783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507,251</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76"/>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at January 31,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2025 and October 31, 2025</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at January 31, 2025 and October 31, 2025;</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8560" w:type="dxa"/>
            <w:vAlign w:val="bottom"/>
          </w:tcPr>
          <w:p>
            <w:pPr>
              <w:ind w:left="620"/>
              <w:spacing w:after="0" w:line="184" w:lineRule="exact"/>
              <w:rPr>
                <w:sz w:val="20"/>
                <w:szCs w:val="20"/>
                <w:color w:val="auto"/>
              </w:rPr>
            </w:pPr>
            <w:r>
              <w:rPr>
                <w:rFonts w:ascii="Times New Roman" w:cs="Times New Roman" w:eastAsia="Times New Roman" w:hAnsi="Times New Roman"/>
                <w:sz w:val="18"/>
                <w:szCs w:val="18"/>
                <w:color w:val="auto"/>
              </w:rPr>
              <w:t>115,996,852 and 118,431,293 shares issued; 115,996,852 and 114,434,810 outstanding at January 31, 2025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4"/>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October 31, 2025, respectively</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Treasury stock, at cost; 0 and 3,996,483 shares at January 31, 2025 and October 31, 2025, respectively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(100,343)</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1,474,413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1,526,923</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(384,391)</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1,041,488</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1,561,174</w:t>
            </w: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55,364</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65,319</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268,253</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103,343</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267,346</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(Note 2)</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 attributable to nCino,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nCino, Inc.: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4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114,407,430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113,594,540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115,830,218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113,594,540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2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(4,152)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23"/>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(3,939)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56"/>
        </w:trPr>
        <w:tc>
          <w:tcPr>
            <w:tcW w:w="5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175"/>
        </w:trPr>
        <w:tc>
          <w:tcPr>
            <w:tcW w:w="5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attributable to redeemable non-</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5320" w:type="dxa"/>
            <w:vAlign w:val="bottom"/>
            <w:shd w:val="clear" w:color="auto" w:fill="CCEEFF"/>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6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8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nCino, Inc.</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00" w:type="dxa"/>
            <w:vAlign w:val="bottom"/>
            <w:gridSpan w:val="10"/>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October 31, 2024</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9"/>
            <w:vMerge w:val="restart"/>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2020" w:type="dxa"/>
            <w:vAlign w:val="bottom"/>
            <w:gridSpan w:val="7"/>
            <w:vMerge w:val="restart"/>
          </w:tcPr>
          <w:p>
            <w:pPr>
              <w:ind w:left="540"/>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9"/>
            <w:vMerge w:val="continue"/>
          </w:tcPr>
          <w:p>
            <w:pPr>
              <w:spacing w:after="0"/>
              <w:rPr>
                <w:sz w:val="12"/>
                <w:szCs w:val="12"/>
                <w:color w:val="auto"/>
              </w:rPr>
            </w:pPr>
          </w:p>
        </w:tc>
        <w:tc>
          <w:tcPr>
            <w:tcW w:w="2020" w:type="dxa"/>
            <w:vAlign w:val="bottom"/>
            <w:gridSpan w:val="7"/>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0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2024</w:t>
            </w:r>
          </w:p>
        </w:tc>
        <w:tc>
          <w:tcPr>
            <w:tcW w:w="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115,387,309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$ 1,439,245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(365,855)</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$ 1,074,855</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185,070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 purchase plan</w:t>
            </w:r>
          </w:p>
        </w:tc>
        <w:tc>
          <w:tcPr>
            <w:tcW w:w="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including adjustment to</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8"/>
                <w:szCs w:val="18"/>
                <w:color w:val="auto"/>
              </w:rPr>
              <w:t>redeemable non-controlling</w:t>
            </w:r>
          </w:p>
        </w:tc>
        <w:tc>
          <w:tcPr>
            <w:tcW w:w="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1000" w:type="dxa"/>
            <w:vAlign w:val="bottom"/>
            <w:gridSpan w:val="4"/>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2024</w:t>
            </w:r>
          </w:p>
        </w:tc>
        <w:tc>
          <w:tcPr>
            <w:tcW w:w="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115,650,585</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$ 1,456,411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(369,821)</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$ 1,088,263</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gridSpan w:val="10"/>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October 31, 2025</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9"/>
            <w:vMerge w:val="restart"/>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2020" w:type="dxa"/>
            <w:vAlign w:val="bottom"/>
            <w:gridSpan w:val="7"/>
            <w:vMerge w:val="restart"/>
          </w:tcPr>
          <w:p>
            <w:pPr>
              <w:ind w:left="520"/>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0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9"/>
            <w:vMerge w:val="continue"/>
          </w:tcPr>
          <w:p>
            <w:pPr>
              <w:spacing w:after="0"/>
              <w:rPr>
                <w:sz w:val="12"/>
                <w:szCs w:val="12"/>
                <w:color w:val="auto"/>
              </w:rPr>
            </w:pPr>
          </w:p>
        </w:tc>
        <w:tc>
          <w:tcPr>
            <w:tcW w:w="2020" w:type="dxa"/>
            <w:vAlign w:val="bottom"/>
            <w:gridSpan w:val="7"/>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10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31, 2025</w:t>
            </w:r>
          </w:p>
        </w:tc>
        <w:tc>
          <w:tcPr>
            <w:tcW w:w="9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118,017,701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2,572,782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$ 1,510,517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(393,039)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$ 1,056,818</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purchase plan</w:t>
            </w:r>
          </w:p>
        </w:tc>
        <w:tc>
          <w:tcPr>
            <w:tcW w:w="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 under</w:t>
            </w: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1,423,701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(39,745)</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attributable to nCino,</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Inc., including adjustment to</w:t>
            </w: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31, 2025</w:t>
            </w:r>
          </w:p>
        </w:tc>
        <w:tc>
          <w:tcPr>
            <w:tcW w:w="9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118,431,293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$ 1,526,923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$ 1,041,488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20" w:type="dxa"/>
            <w:vAlign w:val="bottom"/>
            <w:gridSpan w:val="10"/>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Nine Months Ended October 31, 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9"/>
            <w:vMerge w:val="restart"/>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2020" w:type="dxa"/>
            <w:vAlign w:val="bottom"/>
            <w:gridSpan w:val="8"/>
            <w:vMerge w:val="restart"/>
          </w:tcPr>
          <w:p>
            <w:pPr>
              <w:ind w:left="540"/>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06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9"/>
            <w:vMerge w:val="continue"/>
          </w:tcPr>
          <w:p>
            <w:pPr>
              <w:spacing w:after="0"/>
              <w:rPr>
                <w:sz w:val="12"/>
                <w:szCs w:val="12"/>
                <w:color w:val="auto"/>
              </w:rPr>
            </w:pPr>
          </w:p>
        </w:tc>
        <w:tc>
          <w:tcPr>
            <w:tcW w:w="2020" w:type="dxa"/>
            <w:vAlign w:val="bottom"/>
            <w:gridSpan w:val="8"/>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113,684,299</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$ 1,400,881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$ 1,049,176</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290,917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1,581,387</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purchase plan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52,999</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including adjustment to</w:t>
            </w: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8"/>
                <w:szCs w:val="18"/>
                <w:color w:val="auto"/>
              </w:rPr>
              <w:t>redeemable non-controlling</w:t>
            </w:r>
          </w:p>
        </w:tc>
        <w:tc>
          <w:tcPr>
            <w:tcW w:w="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(17,063)</w:t>
            </w:r>
          </w:p>
        </w:tc>
        <w:tc>
          <w:tcPr>
            <w:tcW w:w="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vMerge w:val="continue"/>
            <w:shd w:val="clear" w:color="auto" w:fill="CCEEFF"/>
          </w:tcPr>
          <w:p>
            <w:pPr>
              <w:spacing w:after="0"/>
              <w:rPr>
                <w:sz w:val="19"/>
                <w:szCs w:val="19"/>
                <w:color w:val="auto"/>
              </w:rPr>
            </w:pPr>
          </w:p>
        </w:tc>
        <w:tc>
          <w:tcPr>
            <w:tcW w:w="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2024</w:t>
            </w:r>
          </w:p>
        </w:tc>
        <w:tc>
          <w:tcPr>
            <w:tcW w:w="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115,650,585</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ind w:left="605"/>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$ 1,456,411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(369,821)</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$ 1,088,263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20" w:type="dxa"/>
            <w:vAlign w:val="bottom"/>
            <w:gridSpan w:val="10"/>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Nine Months Ended October 31, 2025</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9"/>
            <w:vMerge w:val="restart"/>
          </w:tcPr>
          <w:p>
            <w:pPr>
              <w:ind w:left="500"/>
              <w:spacing w:after="0"/>
              <w:rPr>
                <w:sz w:val="20"/>
                <w:szCs w:val="20"/>
                <w:color w:val="auto"/>
              </w:rPr>
            </w:pPr>
            <w:r>
              <w:rPr>
                <w:rFonts w:ascii="Times New Roman" w:cs="Times New Roman" w:eastAsia="Times New Roman" w:hAnsi="Times New Roman"/>
                <w:sz w:val="14"/>
                <w:szCs w:val="14"/>
                <w:color w:val="auto"/>
              </w:rPr>
              <w:t>Common Stock</w:t>
            </w:r>
          </w:p>
        </w:tc>
        <w:tc>
          <w:tcPr>
            <w:tcW w:w="2020" w:type="dxa"/>
            <w:vAlign w:val="bottom"/>
            <w:gridSpan w:val="8"/>
            <w:vMerge w:val="restart"/>
          </w:tcPr>
          <w:p>
            <w:pPr>
              <w:ind w:left="500"/>
              <w:spacing w:after="0"/>
              <w:rPr>
                <w:sz w:val="20"/>
                <w:szCs w:val="20"/>
                <w:color w:val="auto"/>
              </w:rPr>
            </w:pPr>
            <w:r>
              <w:rPr>
                <w:rFonts w:ascii="Times New Roman" w:cs="Times New Roman" w:eastAsia="Times New Roman" w:hAnsi="Times New Roman"/>
                <w:sz w:val="14"/>
                <w:szCs w:val="14"/>
                <w:color w:val="auto"/>
              </w:rPr>
              <w:t>Treasury Stock</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06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80" w:type="dxa"/>
            <w:vAlign w:val="bottom"/>
            <w:gridSpan w:val="9"/>
            <w:vMerge w:val="continue"/>
          </w:tcPr>
          <w:p>
            <w:pPr>
              <w:spacing w:after="0"/>
              <w:rPr>
                <w:sz w:val="12"/>
                <w:szCs w:val="12"/>
                <w:color w:val="auto"/>
              </w:rPr>
            </w:pPr>
          </w:p>
        </w:tc>
        <w:tc>
          <w:tcPr>
            <w:tcW w:w="2020" w:type="dxa"/>
            <w:vAlign w:val="bottom"/>
            <w:gridSpan w:val="8"/>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6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04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Accumulated</w:t>
            </w: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4"/>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Capital</w:t>
            </w: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96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115,996,852</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$ 1,474,413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$ 1,089,312</w:t>
            </w:r>
          </w:p>
        </w:tc>
        <w:tc>
          <w:tcPr>
            <w:tcW w:w="0" w:type="dxa"/>
            <w:vAlign w:val="bottom"/>
          </w:tcPr>
          <w:p>
            <w:pPr>
              <w:spacing w:after="0"/>
              <w:rPr>
                <w:sz w:val="1"/>
                <w:szCs w:val="1"/>
                <w:color w:val="auto"/>
              </w:rPr>
            </w:pPr>
          </w:p>
        </w:tc>
      </w:tr>
      <w:tr>
        <w:trPr>
          <w:trHeight w:val="230"/>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2,057,539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purchase plan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102,856</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 under</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repurchase program</w:t>
            </w: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3,996,483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0" w:type="dxa"/>
            <w:vAlign w:val="bottom"/>
          </w:tcPr>
          <w:p>
            <w:pPr>
              <w:spacing w:after="0"/>
              <w:rPr>
                <w:sz w:val="1"/>
                <w:szCs w:val="1"/>
                <w:color w:val="auto"/>
              </w:rPr>
            </w:pPr>
          </w:p>
        </w:tc>
      </w:tr>
      <w:tr>
        <w:trPr>
          <w:trHeight w:val="229"/>
        </w:trPr>
        <w:tc>
          <w:tcPr>
            <w:tcW w:w="2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52,601</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175"/>
        </w:trPr>
        <w:tc>
          <w:tcPr>
            <w:tcW w:w="29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520"/>
              <w:spacing w:after="0" w:line="176" w:lineRule="exact"/>
              <w:rPr>
                <w:sz w:val="20"/>
                <w:szCs w:val="20"/>
                <w:color w:val="auto"/>
              </w:rPr>
            </w:pPr>
            <w:r>
              <w:rPr>
                <w:rFonts w:ascii="Times New Roman" w:cs="Times New Roman" w:eastAsia="Times New Roman" w:hAnsi="Times New Roman"/>
                <w:sz w:val="18"/>
                <w:szCs w:val="18"/>
                <w:color w:val="auto"/>
              </w:rPr>
              <w:t>including adjustment to</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redeemable non-controlling</w:t>
            </w: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ind w:left="58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31, 2025</w:t>
            </w:r>
          </w:p>
        </w:tc>
        <w:tc>
          <w:tcPr>
            <w:tcW w:w="9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118,431,293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3,996,483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$ 1,526,923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$ 1,041,488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0"/>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r>
      <w:tr>
        <w:trPr>
          <w:trHeight w:val="21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r>
      <w:tr>
        <w:trPr>
          <w:trHeight w:val="220"/>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1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31,998</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3,123</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11,024</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52,681</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Provision for bad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foreign currency gains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(14,178)</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Gains on investments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w:t>
            </w:r>
          </w:p>
        </w:tc>
      </w:tr>
      <w:tr>
        <w:trPr>
          <w:trHeight w:val="213"/>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r>
      <w:tr>
        <w:trPr>
          <w:trHeight w:val="219"/>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63,080</w:t>
            </w:r>
          </w:p>
        </w:tc>
      </w:tr>
      <w:tr>
        <w:trPr>
          <w:trHeight w:val="219"/>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r>
      <w:tr>
        <w:trPr>
          <w:trHeight w:val="246"/>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r>
      <w:tr>
        <w:trPr>
          <w:trHeight w:val="219"/>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(46,066)</w:t>
            </w:r>
          </w:p>
        </w:tc>
      </w:tr>
      <w:tr>
        <w:trPr>
          <w:trHeight w:val="240"/>
        </w:trPr>
        <w:tc>
          <w:tcPr>
            <w:tcW w:w="842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r>
      <w:tr>
        <w:trPr>
          <w:trHeight w:val="246"/>
        </w:trPr>
        <w:tc>
          <w:tcPr>
            <w:tcW w:w="84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7"/>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77,127</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(50,263)</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Acquisition of assets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Sale of investment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220"/>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(92,755)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(53,619)</w:t>
            </w:r>
          </w:p>
        </w:tc>
      </w:tr>
      <w:tr>
        <w:trPr>
          <w:trHeight w:val="22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(100,080)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 issuance under the employee stock purchase plan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r>
      <w:tr>
        <w:trPr>
          <w:trHeight w:val="226"/>
        </w:trPr>
        <w:tc>
          <w:tcPr>
            <w:tcW w:w="8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(59,815)</w:t>
            </w:r>
          </w:p>
        </w:tc>
      </w:tr>
      <w:tr>
        <w:trPr>
          <w:trHeight w:val="220"/>
        </w:trPr>
        <w:tc>
          <w:tcPr>
            <w:tcW w:w="8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r>
      <w:tr>
        <w:trPr>
          <w:trHeight w:val="226"/>
        </w:trPr>
        <w:tc>
          <w:tcPr>
            <w:tcW w:w="842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(33,385)</w:t>
            </w:r>
          </w:p>
        </w:tc>
      </w:tr>
      <w:tr>
        <w:trPr>
          <w:trHeight w:val="240"/>
        </w:trPr>
        <w:tc>
          <w:tcPr>
            <w:tcW w:w="8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117,444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121,267</w:t>
            </w:r>
          </w:p>
        </w:tc>
      </w:tr>
      <w:tr>
        <w:trPr>
          <w:trHeight w:val="238"/>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8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257,894</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87,590</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40"/>
        </w:trPr>
        <w:tc>
          <w:tcPr>
            <w:tcW w:w="84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7"/>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8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12,323</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2"/>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Fair value of contingent consideration in connection with business acquisition in accrued expenses and other current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Measurement period adjustments relating to business acquisitions</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consideration in connection with business acquisition for settlement of a preexisting contract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37"/>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Business and Significant Accounting Policies</w:t>
      </w:r>
    </w:p>
    <w:p>
      <w:pPr>
        <w:spacing w:after="0" w:line="225" w:lineRule="exact"/>
        <w:rPr>
          <w:sz w:val="20"/>
          <w:szCs w:val="20"/>
          <w:color w:val="auto"/>
        </w:rPr>
      </w:pPr>
    </w:p>
    <w:p>
      <w:pPr>
        <w:ind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together with its subsidiaries (collectively “the Company”), is a software-as-a-service (“SaaS”)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provides software solutions to financial institutions (“FI”) to streamline employee and client interactions. The Company is headquartered in Wilmington, North Carolina and has various locations in North America, Europe, Asia Pacific and South Africa.</w:t>
      </w:r>
    </w:p>
    <w:p>
      <w:pPr>
        <w:spacing w:after="0" w:line="171" w:lineRule="exact"/>
        <w:rPr>
          <w:sz w:val="20"/>
          <w:szCs w:val="20"/>
          <w:color w:val="auto"/>
        </w:rPr>
      </w:pPr>
    </w:p>
    <w:p>
      <w:pPr>
        <w:ind w:right="28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 References to fiscal year 2026, for example, refer to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31, 2026.</w:t>
      </w:r>
    </w:p>
    <w:p>
      <w:pPr>
        <w:spacing w:after="0" w:line="155"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financial information presented in the accompanying unaudited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have been prepared in accordance with U.S. generally accepted accounting principles (“GAAP”) as set forth in the Financial Accounting Standards Board (“FASB”) Accounting Standards Codification (“ASC”) and in accordance with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2025, filed with the SEC on April 1, 2025. The unaudited condensed consolidated financial statements include accounts of the Company’s wholly-owned subsidiaries, as well as a variable interest entity (“VIE”) in which the Company is the primary beneficiary. All intercompany balances and transactions have been eliminated in consolidation.</w:t>
      </w:r>
    </w:p>
    <w:p>
      <w:pPr>
        <w:spacing w:after="0" w:line="192" w:lineRule="exact"/>
        <w:rPr>
          <w:sz w:val="20"/>
          <w:szCs w:val="20"/>
          <w:color w:val="auto"/>
        </w:rPr>
      </w:pPr>
    </w:p>
    <w:p>
      <w:pPr>
        <w:ind w:right="24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2026 or any future period.</w:t>
      </w:r>
    </w:p>
    <w:p>
      <w:pPr>
        <w:spacing w:after="0" w:line="172" w:lineRule="exact"/>
        <w:rPr>
          <w:sz w:val="20"/>
          <w:szCs w:val="20"/>
          <w:color w:val="auto"/>
        </w:rPr>
      </w:pPr>
    </w:p>
    <w:p>
      <w:pPr>
        <w:ind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Reclassification: </w:t>
      </w:r>
      <w:r>
        <w:rPr>
          <w:rFonts w:ascii="Times New Roman" w:cs="Times New Roman" w:eastAsia="Times New Roman" w:hAnsi="Times New Roman"/>
          <w:sz w:val="18"/>
          <w:szCs w:val="18"/>
          <w:color w:val="auto"/>
        </w:rPr>
        <w:t>The Company reclassified certain prior year amounts in the unaudited condensed consolidated statement of cash flows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cash flows from operating activities to conform to the current year presentation.</w:t>
      </w:r>
    </w:p>
    <w:p>
      <w:pPr>
        <w:spacing w:after="0" w:line="155"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VIE. nCino K.K.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2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fair value of contingent consideration;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2025 and October 31, 2025. The Company maintains its cash, cash equivalents and restricted cash with high-credit-quality financial institutions.</w:t>
      </w:r>
    </w:p>
    <w:p>
      <w:pPr>
        <w:spacing w:after="0" w:line="180"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As of both January 31, 2025 and October 31, 2025, no individual customer represented more than 10% of accounts receivable. For the three and nine months ended October 31, 2024 and 2025, no individual customer represented more than 10% of the Company’s total revenues.</w:t>
      </w:r>
    </w:p>
    <w:p>
      <w:pPr>
        <w:spacing w:after="0" w:line="158"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consists of deposits held as collateral for the Company’s bank guarantees issued in place of security 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property leases and credit cards at January 31, 2025 and only for certain property leases at October 31, 2025. Restricted cash is included in long-term prepaid expenses and other assets on the consolidated balance sheets at January 31, 2025 and in prepaid expenses and other current assets and long-term prepaid expenses and other assets at October 31, 2025 in the unaudited condensed consolidated balance sheets.</w:t>
      </w:r>
    </w:p>
    <w:p>
      <w:pPr>
        <w:spacing w:after="0" w:line="176"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(recovery of) bad debt expense</w:t>
            </w:r>
          </w:p>
        </w:tc>
        <w:tc>
          <w:tcPr>
            <w:tcW w:w="9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deferred revenue</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Other income (expense), net on the Company’s unaudited condensed consolidated statements of operations. The Company assesses the investments whenever events or changes in circumstances indicate that the carrying value of the investments may not be recoverable.</w:t>
      </w:r>
    </w:p>
    <w:p>
      <w:pPr>
        <w:spacing w:after="0" w:line="176" w:lineRule="exact"/>
        <w:rPr>
          <w:sz w:val="20"/>
          <w:szCs w:val="20"/>
          <w:color w:val="auto"/>
        </w:rPr>
      </w:pPr>
    </w:p>
    <w:p>
      <w:pPr>
        <w:ind w:right="4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functional currency of the Company’s foreign subsidiaries is generally the local currency. Adjustments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translating foreign functional currency financial statements into United States (“U.S.”) dollars are recorded as a separate component on the unaudited condensed consolidated statements of comprehensive loss recorded in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83"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18"/>
          <w:szCs w:val="18"/>
          <w:color w:val="auto"/>
        </w:rPr>
        <w:t>Foreign currency transaction gains and losses due to transactions denominated in a currency other than the functional currency are included in other income (expense), net in the unaudited condensed consolidated statements of operations and were $0.5 million and $0.2 million for the three months ended October 31, 2024 and 2025, respectively, and $(0.2) million and $15.3 million for the nine months ended October 31, 2024 and 2025, respectively, primarily related to remeasurement of various intercompany loans.</w:t>
      </w:r>
    </w:p>
    <w:p>
      <w:pPr>
        <w:spacing w:after="0" w:line="176"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expects to adopt 2023-09 in its consolidated financial statements for the fiscal year ended January 31, 2026. The adoption will require certain additional disclosures in the notes to the Company’s consolidated financial statements.</w:t>
      </w:r>
    </w:p>
    <w:p>
      <w:pPr>
        <w:spacing w:after="0" w:line="18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The guidance includes amendments to require public companies to provide additional disclosure about certain costs and expenses. The ASU is effective for annual periods beginning after December 15, 2026, and interim periods beginning after December 15, 2027.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guidance includes amendments that provide a practical expedient for measuring credit losses on current accounts receivable and current contract assets under ASC 606 - Revenue from Contracts with Customers. The ASU is effective for annual periods beginning after December 15, 2025, and interim periods within those annual periods.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Variable Interest Entity and Redeemable Non-Controlling Interest</w:t>
      </w:r>
    </w:p>
    <w:p>
      <w:pPr>
        <w:spacing w:after="0" w:line="229" w:lineRule="exact"/>
        <w:rPr>
          <w:sz w:val="20"/>
          <w:szCs w:val="20"/>
          <w:color w:val="auto"/>
        </w:rPr>
      </w:pPr>
    </w:p>
    <w:p>
      <w:pPr>
        <w:jc w:val="both"/>
        <w:ind w:right="140" w:firstLine="89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In October 2023, the Company made a</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investment in nCino K.K. of $1.0 million that, including additional investments in nCino K.K. of $1.0 million by existing third-party investors in October 2023, maintained the Company’s ownership of 51%. As of October 31, 2025, the Company controls a majority of the outstanding common stock in nCino K.K.</w:t>
      </w:r>
    </w:p>
    <w:p>
      <w:pPr>
        <w:spacing w:after="0" w:line="176" w:lineRule="exact"/>
        <w:rPr>
          <w:sz w:val="20"/>
          <w:szCs w:val="20"/>
          <w:color w:val="auto"/>
        </w:rPr>
      </w:pPr>
    </w:p>
    <w:p>
      <w:pPr>
        <w:ind w:right="40" w:firstLine="891"/>
        <w:spacing w:after="0" w:line="277"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non-controlling interest)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12,435</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nCino K.K. stock options granted in accordance with nCino K.K.’s equity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2025 and October 31, 2025 because of the relatively short duration of these instruments.</w:t>
      </w:r>
    </w:p>
    <w:p>
      <w:pPr>
        <w:spacing w:after="0" w:line="162"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2025 and October 31, 2025 and indicates the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hierarchy of the valuation:</w:t>
      </w:r>
    </w:p>
    <w:p>
      <w:pPr>
        <w:spacing w:after="0" w:line="259"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spacing w:after="0" w:line="6"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31, 2025</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7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gridSpan w:val="11"/>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prepaid expenses and other current assets)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accrued expenses and other current liabilities)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contingent consideration with significant unobservable inputs: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in connection with business acquisition</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October 31, 2025</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0"/>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contingent consideration consists of the potential earn-out payment related to the Company’s acquisition of Alphapack, Co. dba Sandbox Banking (“Sandbox Banking”) on February 7, 2025 and has a maximum potential payment of $10.0 million. The fair value of the contingent consideration was determined using a probability weighted discounted cash flow model. Changes in the fair value of the contingent consideration can result from changes in assumed discount periods and rates, and from changes pertaining to the estimated or actual achievement of the defined milestones. This contingent liability was classified as Level 3 within the fair value hierarchy. Changes in fair values of contingent consideration are recognized in general and administrative expenses on the Company’s unaudited condensed consolidated statement of operations.</w:t>
      </w:r>
    </w:p>
    <w:p>
      <w:pPr>
        <w:spacing w:after="0" w:line="187" w:lineRule="exact"/>
        <w:rPr>
          <w:sz w:val="20"/>
          <w:szCs w:val="20"/>
          <w:color w:val="auto"/>
        </w:rPr>
      </w:pPr>
    </w:p>
    <w:p>
      <w:pPr>
        <w:ind w:right="320" w:firstLine="891"/>
        <w:spacing w:after="0" w:line="282" w:lineRule="auto"/>
        <w:rPr>
          <w:sz w:val="20"/>
          <w:szCs w:val="20"/>
          <w:color w:val="auto"/>
        </w:rPr>
      </w:pPr>
      <w:r>
        <w:rPr>
          <w:rFonts w:ascii="Times New Roman" w:cs="Times New Roman" w:eastAsia="Times New Roman" w:hAnsi="Times New Roman"/>
          <w:sz w:val="18"/>
          <w:szCs w:val="18"/>
          <w:color w:val="auto"/>
        </w:rPr>
        <w:t>The unobservable inputs used in the valuation as of October 31, 2025 included expected payment in the first half of fiscal 2027, a weighted average expected achievement percentage of 86.7%, and a discount rate of 6.7%.</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three and nine months ended October 31,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Unrealized gains as a result of an observable price change were $0.0 million and $0.5 million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nine months ended October 31, 2024 and 2025, respectively. Cumulative unrealized gains were $0.7 million for investments accounted for under the measurement alternative as of October 31, 2025. There was no impairment recognized for the three and nine months ended October 31, 2024 and 2025. Realized gains from the sale of an investment reflects the difference between the sales proceeds and the carrying value of the investment at the beginning of the period or the purchase date, if later. Realized gains were $0.0 million and $1.2 million for the nine months ended October 31, 2024 and 2025, respectively. See Note 12 “Related-Party Transactions” for additional information on the sale of an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Disaggregated revenues by source and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 - non-mortgage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247,721</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 - mortgage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60,883</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37,857</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81,147</w:t>
            </w: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445,115</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w:t>
      </w:r>
    </w:p>
    <w:p>
      <w:pPr>
        <w:spacing w:after="0" w:line="207"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year 2025, the Company changed the presentation of disaggregated revenues from a classification primarily based on geographic region to a classification to include sources by geographic region. The prior period presentation of disaggregated revenues has been reclassified to conform with the current period presentation.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2025 and October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tcPr>
          <w:p>
            <w:pPr>
              <w:spacing w:after="0"/>
              <w:rPr>
                <w:sz w:val="17"/>
                <w:szCs w:val="17"/>
                <w:color w:val="auto"/>
              </w:rPr>
            </w:pPr>
          </w:p>
        </w:tc>
        <w:tc>
          <w:tcPr>
            <w:tcW w:w="4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4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64,411</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4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4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4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6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nine months ended October 31, 2025, $190.9 million of revenues were recognized out of the deferred revenue balance as of January 31, 2025.</w:t>
      </w:r>
    </w:p>
    <w:p>
      <w:pPr>
        <w:spacing w:after="0" w:line="180"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$1.2 billion as of October 31, 2025. The Company expects to recognize approximately 69% of its remaining performance obligation as revenues in the next 24 months, approximately 26% more in the following 25 to 48 months, and the remainder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0" w:type="dxa"/>
            <w:vAlign w:val="bottom"/>
          </w:tcPr>
          <w:p>
            <w:pPr>
              <w:spacing w:after="0"/>
              <w:rPr>
                <w:sz w:val="13"/>
                <w:szCs w:val="13"/>
                <w:color w:val="auto"/>
              </w:rPr>
            </w:pPr>
          </w:p>
        </w:tc>
        <w:tc>
          <w:tcPr>
            <w:tcW w:w="12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104,916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76,335</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52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240" w:type="dxa"/>
            <w:vAlign w:val="bottom"/>
          </w:tcPr>
          <w:p>
            <w:pPr>
              <w:spacing w:after="0"/>
              <w:rPr>
                <w:sz w:val="24"/>
                <w:szCs w:val="24"/>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40" w:type="dxa"/>
            <w:vAlign w:val="bottom"/>
          </w:tcPr>
          <w:p>
            <w:pPr>
              <w:spacing w:after="0"/>
              <w:rPr>
                <w:sz w:val="24"/>
                <w:szCs w:val="24"/>
                <w:color w:val="auto"/>
              </w:rPr>
            </w:pPr>
          </w:p>
        </w:tc>
        <w:tc>
          <w:tcPr>
            <w:tcW w:w="28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0" w:type="dxa"/>
            <w:vAlign w:val="bottom"/>
          </w:tcPr>
          <w:p>
            <w:pPr>
              <w:spacing w:after="0"/>
              <w:rPr>
                <w:sz w:val="13"/>
                <w:szCs w:val="13"/>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October 31,</w:t>
            </w: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16,481</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37,536</w:t>
            </w: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34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unaudited condensed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w:t>
      </w:r>
    </w:p>
    <w:p>
      <w:pPr>
        <w:spacing w:after="0" w:line="187"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included within general and administrative expenses, was recorded as transaction cost immediately following the acquisition and not in consideration transferred. The estimated fair value of the consideration transferred was $72.4 million on the DocFox Acquisition Date.</w:t>
      </w:r>
    </w:p>
    <w:p>
      <w:pPr>
        <w:spacing w:after="0" w:line="187"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Restricted Stock Units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The Company determined the acquisition date contract assets and liabilities in accordance with ASC 606.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56,302</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within the one year measurement period, we finalized the fair value of the assets acquired and liabilities assumed in the acquisition, and the amounts presented above are final. The Company recorded measurement period adjustments that included a $1.0 million adjustment to decrease goodwill for a $1.0 million deferred income tax adjustment.</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DocFox’s technology, customer relationships represent the fair value of the underlying relationships with DocFox’s customers, and trade names represents the fair value of DocFox’s company name.</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deductible for tax.</w:t>
      </w:r>
    </w:p>
    <w:p>
      <w:pPr>
        <w:spacing w:after="0" w:line="162" w:lineRule="exact"/>
        <w:rPr>
          <w:sz w:val="20"/>
          <w:szCs w:val="20"/>
          <w:color w:val="auto"/>
        </w:rPr>
      </w:pPr>
    </w:p>
    <w:p>
      <w:pPr>
        <w:ind w:right="84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DocFox as they did not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consumer loan origination software that streamlines direct and indirect lending operations. The Company acquired ILT for its complementary products. The Company has included the financial results of ILT in the unaudited condensed consolidated statements of operations from the ILT Acquisition Date. Transaction costs associated with the ILT acquisition were approximately $0.9 million and were recorded in general and administrative expenses.</w:t>
      </w:r>
    </w:p>
    <w:p>
      <w:pPr>
        <w:spacing w:after="0" w:line="180"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 paid a total of $19.9 million in cash on the ILT Acquisition Date, subject to a net working capital adjustment. The net working capital adjustment was finalized in July 2024, resulting in an increase to the purchase price of $0.1 million which was recorded to goodwill.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The Company determined the acquisition date contract assets and liabilities in accordance with ASC 606.</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ILT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2025, within the one year measurement period, we finalized the fair value of the assets acquired and liabilities assumed in the acquisition, and the amounts presented above are final.</w:t>
      </w:r>
    </w:p>
    <w:p>
      <w:pPr>
        <w:spacing w:after="0" w:line="162"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ILT’s technology, customer relationships represent the fair value of the underlying relationships with ILT’s customers, and trade name represents the fair value of ILT’s company name.</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$11.1 million is deductible for tax purposes.</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ILT as they did not have a material effect on the Company’s consolidated financial statements.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Artesian Solutions Limited (“FullCircl”)</w:t>
      </w:r>
    </w:p>
    <w:p>
      <w:pPr>
        <w:spacing w:after="0" w:line="229" w:lineRule="exact"/>
        <w:rPr>
          <w:sz w:val="20"/>
          <w:szCs w:val="20"/>
          <w:color w:val="auto"/>
        </w:rPr>
      </w:pPr>
    </w:p>
    <w:p>
      <w:pPr>
        <w:jc w:val="both"/>
        <w:ind w:right="140" w:firstLine="891"/>
        <w:spacing w:after="0" w:line="261" w:lineRule="auto"/>
        <w:rPr>
          <w:sz w:val="20"/>
          <w:szCs w:val="20"/>
          <w:color w:val="auto"/>
        </w:rPr>
      </w:pPr>
      <w:r>
        <w:rPr>
          <w:rFonts w:ascii="Times New Roman" w:cs="Times New Roman" w:eastAsia="Times New Roman" w:hAnsi="Times New Roman"/>
          <w:sz w:val="18"/>
          <w:szCs w:val="18"/>
          <w:color w:val="auto"/>
        </w:rPr>
        <w:t>On November 5, 2024 (the “FullCircl Acquisition Date”), the Company acquired the outstanding equity interests of FullCircl, which provides an onboarding and customer lifecycle intelligence platform. The Company acquired FullCircl for its complementary products. The Company has included the financial results of FullCircl in the unaudited condensed consolidated statements of operations from the FullCircl Acquisition Date. Transaction costs associated with the FullCircl acquisition were approximately $3.6 million and were recorded in general and administrative expenses.</w:t>
      </w:r>
    </w:p>
    <w:p>
      <w:pPr>
        <w:spacing w:after="0" w:line="180"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The purchase consideration was $142.4 million, of which the Company paid a total of $129.2 million in cash at the FullCircl Acquisition Date. The purchase consideration includes a deferred payment of $15.0 million, with a present value of $13.2 million at the FullCircl Acquisition Date, relating to an indemnity holdback amount to be paid in 24 months following the FullCircl Acquisition Date which is included in other long-term liabilities on the unaudited condensed consolidated balance sheets. The Company will accrete the $1.8 million, which represents the difference between the total deferred payment and the present value, to interest expense over the two-year period using the effective interest rate methodology.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52,877 RSUs with an approximate fair value of $2.0 million to certain employees of FullCircl,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FullCircl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FullCircl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142,409</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During the six months ended July 31, 2025, the Company recorded measurement period adjustments that included a $9.4 million adjustment to decrease goodwill for a $9.4 million deferred income tax adjustment. No additional adjustments were made in the third quarter ended October 31, 2025.</w:t>
      </w:r>
    </w:p>
    <w:p>
      <w:pPr>
        <w:spacing w:after="0" w:line="16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2026, but no later than one year from the FullCircl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evaluation and valuation of certain legal matters and/or loss contingencies, including those that the Company may not yet be aware of but meet the requirement to qualify as a pre-acquisition contingency, and (iii) finalizing our estimate of the impact of acquisition accounting on deferred income taxes or liabilities, including uncertain tax positions.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FullCircl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FullCircl’s technology, customer relationships represent the preliminary fair value of the underlying relationships with FullCircl’s customers, and trade names represents the preliminary fair value of FullCircl’s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76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FullCircl as they did not have a material effect on the Company’s consolidated financial statements.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Sandbox Banking</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On February 7, 2025 (the “Sandbox Acquisition Date”), the Company acquired the outstanding equity interests of Sandbox Banking, a digital transformation leader serving the financial services industry. The Company acquired Sandbox Banking to strengthen the Company’s ability to enhance data connectivity. The Company has included the financial results of Sandbox Banking in the unaudited condensed consolidated statements of operations from the Sandbox Acquisition Date. Transaction costs associated with the Sandbox Banking acquisition were approximately $1.4 million and were recorded in general and administrative expenses.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Sandbox Acquisition Date fair value of the consideration transferred is as follows:</w:t>
      </w:r>
    </w:p>
    <w:p>
      <w:pPr>
        <w:spacing w:after="0" w:line="4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(net of working capital adjustments)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consideration for settlement of preexisting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53" w:hanging="853"/>
        <w:spacing w:after="0"/>
        <w:tabs>
          <w:tab w:leader="none" w:pos="85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53,488</w:t>
      </w:r>
    </w:p>
    <w:p>
      <w:pPr>
        <w:spacing w:after="0" w:line="38"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1,354</w:t>
      </w:r>
    </w:p>
    <w:p>
      <w:pPr>
        <w:spacing w:after="0" w:line="34"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 w:lineRule="exact"/>
        <w:rPr>
          <w:sz w:val="20"/>
          <w:szCs w:val="20"/>
          <w:color w:val="auto"/>
        </w:rPr>
      </w:pPr>
    </w:p>
    <w:p>
      <w:pPr>
        <w:ind w:left="853" w:hanging="853"/>
        <w:spacing w:after="0"/>
        <w:tabs>
          <w:tab w:leader="none" w:pos="85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08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17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As of April 30, 2025, the cash consideration and working capital adjustments were finalized, resulting in final net cash consideration of $53.5 million after working capital adjustments of $0.5 million.</w:t>
      </w:r>
    </w:p>
    <w:p>
      <w:pPr>
        <w:spacing w:after="0" w:line="162" w:lineRule="exact"/>
        <w:rPr>
          <w:sz w:val="20"/>
          <w:szCs w:val="20"/>
          <w:color w:val="auto"/>
        </w:rPr>
      </w:pPr>
    </w:p>
    <w:p>
      <w:pPr>
        <w:jc w:val="both"/>
        <w:ind w:right="300" w:firstLine="891"/>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also includes $8.1 million of contingent consideration whereby the Company may be required to pay up to $10.0 million subject to the achievement of certain targets over 18 months, subject to revision. Three earn-outs are payable based on achieving a certain increase in annual contract value, achieving connectivity between defined systems for certain customers and achieving defined development work. See Note 3 “Fair Value Measurements” for additional information on the fair value of the contingent consideration.</w:t>
      </w:r>
    </w:p>
    <w:p>
      <w:pPr>
        <w:spacing w:after="0" w:line="180"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91,160 RSUs, in May 2025, with an approximate fair value of $2.1 million to certain employees of Sandbox Banking, which will vest over four years subject to such employees’ continued employment. The RSUs will be recorded as stock-based compensation expense post-acquisition as the RSUs vest and has been excluded from the purchase consideration.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Sandbox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Sandbox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2026, but no later than one year from the Sandbox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(iv) finalizing our estimate of the impact of acquisition accounting on deferred income taxes or liabilities, including uncertain tax positions, and (v)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Sandbox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Sandbox Banking’s technology, customer relationships represent the preliminary fair value of the underlying relationships with Sandbox Banking’s customers, and trade names represent the preliminary fair value of Sandbox Banking’s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Sandbox Banking since the Sandbox Acquisition Date are included in the Company’s unaudited condensed consolidated financial statements and are not material to the Company. The Company has not disclosed pro-forma revenue and earnings attributable to Sandbox Banking as they did not have a material effect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0" w:type="dxa"/>
            <w:vAlign w:val="bottom"/>
          </w:tcPr>
          <w:p>
            <w:pPr>
              <w:spacing w:after="0"/>
              <w:rPr>
                <w:sz w:val="1"/>
                <w:szCs w:val="1"/>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October 31, 2025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1,071,152</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3"/>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36,918</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105,548</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October 31, 2025 is as follows:</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44,036</w:t>
            </w:r>
          </w:p>
        </w:tc>
      </w:tr>
      <w:tr>
        <w:trPr>
          <w:trHeight w:val="248"/>
        </w:trPr>
        <w:tc>
          <w:tcPr>
            <w:tcW w:w="9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142,841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220" w:firstLine="891"/>
        <w:spacing w:after="0" w:line="254"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“Stock Repurchase Program”). The Company may make repurchases, from time to time, through open market purchases, block trades, in privately negotiated transactions, accelerated stock repurchase transaction,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amount of common stock, has no time limit, and may be modified, suspended, or discontinued at any time without notice at the discretion of our Board of Directors.</w:t>
      </w:r>
    </w:p>
    <w:p>
      <w:pPr>
        <w:spacing w:after="0" w:line="192" w:lineRule="exact"/>
        <w:rPr>
          <w:sz w:val="20"/>
          <w:szCs w:val="20"/>
          <w:color w:val="auto"/>
        </w:rPr>
      </w:pPr>
    </w:p>
    <w:p>
      <w:pPr>
        <w:ind w:right="40" w:firstLine="891"/>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under the Company’s Stock Repurchase Program (in thousands, except share and per share data):</w:t>
      </w: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120" w:type="dxa"/>
            <w:vAlign w:val="bottom"/>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60" w:type="dxa"/>
            <w:vAlign w:val="bottom"/>
          </w:tcPr>
          <w:p>
            <w:pPr>
              <w:spacing w:after="0"/>
              <w:rPr>
                <w:sz w:val="16"/>
                <w:szCs w:val="16"/>
                <w:color w:val="auto"/>
              </w:rPr>
            </w:pPr>
          </w:p>
        </w:tc>
        <w:tc>
          <w:tcPr>
            <w:tcW w:w="28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9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1,423,701</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3,996,483</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per share</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279" w:lineRule="exact"/>
        <w:rPr>
          <w:sz w:val="20"/>
          <w:szCs w:val="20"/>
          <w:color w:val="auto"/>
        </w:rPr>
      </w:pPr>
    </w:p>
    <w:p>
      <w:pPr>
        <w:ind w:left="900" w:right="5240" w:hanging="892"/>
        <w:spacing w:after="0" w:line="439" w:lineRule="auto"/>
        <w:tabs>
          <w:tab w:leader="none" w:pos="19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transaction costs and excise tax associated with the repurchases, if any. All repurchases were made in open market transactions.</w:t>
      </w:r>
    </w:p>
    <w:p>
      <w:pPr>
        <w:spacing w:after="0" w:line="1" w:lineRule="exact"/>
        <w:rPr>
          <w:rFonts w:ascii="Times New Roman" w:cs="Times New Roman" w:eastAsia="Times New Roman" w:hAnsi="Times New Roman"/>
          <w:sz w:val="23"/>
          <w:szCs w:val="23"/>
          <w:color w:val="auto"/>
          <w:vertAlign w:val="superscript"/>
        </w:rPr>
      </w:pPr>
    </w:p>
    <w:p>
      <w:pPr>
        <w:ind w:left="90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October 31, 2025, the Company had completed the purchase authorization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nine months ended October 31, 2025 was as follows:</w:t>
      </w:r>
    </w:p>
    <w:p>
      <w:pPr>
        <w:spacing w:after="0" w:line="200" w:lineRule="exact"/>
        <w:rPr>
          <w:sz w:val="20"/>
          <w:szCs w:val="20"/>
          <w:color w:val="auto"/>
        </w:rPr>
      </w:pPr>
    </w:p>
    <w:p>
      <w:pPr>
        <w:spacing w:after="0" w:line="208"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6"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200"/>
        <w:spacing w:after="0" w:line="209" w:lineRule="auto"/>
        <w:rPr>
          <w:sz w:val="20"/>
          <w:szCs w:val="20"/>
          <w:color w:val="auto"/>
        </w:rPr>
      </w:pPr>
      <w:r>
        <w:rPr>
          <w:rFonts w:ascii="Times New Roman" w:cs="Times New Roman" w:eastAsia="Times New Roman" w:hAnsi="Times New Roman"/>
          <w:sz w:val="14"/>
          <w:szCs w:val="14"/>
          <w:b w:val="1"/>
          <w:bCs w:val="1"/>
          <w:color w:val="auto"/>
        </w:rPr>
        <w:t>Average</w:t>
      </w:r>
    </w:p>
    <w:p>
      <w:pPr>
        <w:spacing w:after="0"/>
        <w:rPr>
          <w:sz w:val="20"/>
          <w:szCs w:val="20"/>
          <w:color w:val="auto"/>
        </w:rPr>
      </w:pPr>
      <w:r>
        <w:rPr>
          <w:rFonts w:ascii="Times New Roman" w:cs="Times New Roman" w:eastAsia="Times New Roman" w:hAnsi="Times New Roman"/>
          <w:sz w:val="14"/>
          <w:szCs w:val="14"/>
          <w:b w:val="1"/>
          <w:bCs w:val="1"/>
          <w:color w:val="auto"/>
        </w:rPr>
        <w:t>Exercise Price</w:t>
      </w:r>
    </w:p>
    <w:p>
      <w:pPr>
        <w:spacing w:after="0" w:line="24" w:lineRule="exact"/>
        <w:rPr>
          <w:sz w:val="20"/>
          <w:szCs w:val="20"/>
          <w:color w:val="auto"/>
        </w:rPr>
      </w:pPr>
    </w:p>
    <w:p>
      <w:pPr>
        <w:sectPr>
          <w:pgSz w:w="11900" w:h="16838" w:orient="portrait"/>
          <w:cols w:equalWidth="0" w:num="2">
            <w:col w:w="9320" w:space="720"/>
            <w:col w:w="120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8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811,602</w:t>
            </w: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gridSpan w:val="2"/>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October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535,929</w:t>
            </w:r>
          </w:p>
        </w:tc>
        <w:tc>
          <w:tcPr>
            <w:tcW w:w="40" w:type="dxa"/>
            <w:vAlign w:val="bottom"/>
            <w:tcBorders>
              <w:bottom w:val="single" w:sz="8" w:color="auto"/>
            </w:tcBorders>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October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535,929</w:t>
            </w:r>
          </w:p>
        </w:tc>
        <w:tc>
          <w:tcPr>
            <w:tcW w:w="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Fully vested or expected to vest, October 31, 2025</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535,929</w:t>
            </w:r>
          </w:p>
        </w:tc>
        <w:tc>
          <w:tcPr>
            <w:tcW w:w="40" w:type="dxa"/>
            <w:vAlign w:val="bottom"/>
            <w:tcBorders>
              <w:bottom w:val="single" w:sz="8" w:color="auto"/>
            </w:tcBorders>
          </w:tcPr>
          <w:p>
            <w:pPr>
              <w:spacing w:after="0"/>
              <w:rPr>
                <w:sz w:val="17"/>
                <w:szCs w:val="17"/>
                <w:color w:val="auto"/>
              </w:rPr>
            </w:pPr>
          </w:p>
        </w:tc>
        <w:tc>
          <w:tcPr>
            <w:tcW w:w="2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RSU activity during the nine months ended October 31, 2025 was as follows:</w:t>
            </w: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2025</w:t>
            </w: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6,105,459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3,664,333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(2,057,539)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(941,732)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October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6,770,521</w:t>
            </w:r>
          </w:p>
        </w:tc>
        <w:tc>
          <w:tcPr>
            <w:tcW w:w="4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2025, total unrecognized compensation expense related to non-vested RSUs was $153.3 million, adjusted for estimated forfeitures, based on the estimated fair value of the Company’s common stock at the time of grant. That cost is expected to be recognized over a weighted average period of 2.79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fair value of ESPP shares during the nine months ended October 31, 2024 and 2025 was estimated at the date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valuation model based on assumptions as follows for ESPP awards: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35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3620" w:type="dxa"/>
            <w:vAlign w:val="bottom"/>
          </w:tcPr>
          <w:p>
            <w:pPr>
              <w:spacing w:after="0"/>
              <w:rPr>
                <w:sz w:val="2"/>
                <w:szCs w:val="2"/>
                <w:color w:val="auto"/>
              </w:rPr>
            </w:pPr>
          </w:p>
        </w:tc>
        <w:tc>
          <w:tcPr>
            <w:tcW w:w="5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90"/>
        </w:trPr>
        <w:tc>
          <w:tcPr>
            <w:tcW w:w="362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CCEEFF"/>
            </w:tcBorders>
          </w:tcPr>
          <w:p>
            <w:pPr>
              <w:spacing w:after="0"/>
              <w:rPr>
                <w:sz w:val="16"/>
                <w:szCs w:val="16"/>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41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20" w:type="dxa"/>
            <w:vAlign w:val="bottom"/>
            <w:gridSpan w:val="2"/>
          </w:tcPr>
          <w:p>
            <w:pPr>
              <w:jc w:val="center"/>
              <w:ind w:left="4030"/>
              <w:spacing w:after="0"/>
              <w:rPr>
                <w:sz w:val="20"/>
                <w:szCs w:val="20"/>
                <w:color w:val="auto"/>
              </w:rPr>
            </w:pPr>
            <w:r>
              <w:rPr>
                <w:rFonts w:ascii="Times New Roman" w:cs="Times New Roman" w:eastAsia="Times New Roman" w:hAnsi="Times New Roman"/>
                <w:sz w:val="18"/>
                <w:szCs w:val="18"/>
                <w:color w:val="auto"/>
                <w:w w:val="99"/>
              </w:rPr>
              <w:t>38.70% - 38.91%</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40.74% - 46.91%</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5820" w:type="dxa"/>
            <w:vAlign w:val="bottom"/>
            <w:gridSpan w:val="2"/>
            <w:shd w:val="clear" w:color="auto" w:fill="CCEEFF"/>
          </w:tcPr>
          <w:p>
            <w:pPr>
              <w:jc w:val="center"/>
              <w:ind w:left="4030"/>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20" w:type="dxa"/>
            <w:vAlign w:val="bottom"/>
            <w:gridSpan w:val="2"/>
          </w:tcPr>
          <w:p>
            <w:pPr>
              <w:jc w:val="center"/>
              <w:ind w:left="4050"/>
              <w:spacing w:after="0"/>
              <w:rPr>
                <w:sz w:val="20"/>
                <w:szCs w:val="20"/>
                <w:color w:val="auto"/>
              </w:rPr>
            </w:pPr>
            <w:r>
              <w:rPr>
                <w:rFonts w:ascii="Times New Roman" w:cs="Times New Roman" w:eastAsia="Times New Roman" w:hAnsi="Times New Roman"/>
                <w:sz w:val="18"/>
                <w:szCs w:val="18"/>
                <w:color w:val="auto"/>
                <w:w w:val="99"/>
              </w:rPr>
              <w:t>5.24% - 5.37%</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 - 4.29%</w:t>
            </w:r>
          </w:p>
        </w:tc>
      </w:tr>
      <w:tr>
        <w:trPr>
          <w:trHeight w:val="900"/>
        </w:trPr>
        <w:tc>
          <w:tcPr>
            <w:tcW w:w="3620" w:type="dxa"/>
            <w:vAlign w:val="bottom"/>
          </w:tcPr>
          <w:p>
            <w:pPr>
              <w:spacing w:after="0"/>
              <w:rPr>
                <w:sz w:val="24"/>
                <w:szCs w:val="24"/>
                <w:color w:val="auto"/>
              </w:rPr>
            </w:pPr>
          </w:p>
        </w:tc>
        <w:tc>
          <w:tcPr>
            <w:tcW w:w="41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17,971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52,681</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66"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December 2034, some of which include options to extend for up to one year. See Note 15 “Restructuring” regarding lease terminations in connection with the Restructuring Plan.</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48"/>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676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2"/>
        </w:trPr>
        <w:tc>
          <w:tcPr>
            <w:tcW w:w="5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6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Operating lease right-of-use assets obtained in exchange for operating lease liabilities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184"/>
        </w:trPr>
        <w:tc>
          <w:tcPr>
            <w:tcW w:w="8280" w:type="dxa"/>
            <w:vAlign w:val="bottom"/>
            <w:gridSpan w:val="7"/>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lease right-of-use assets and operating lease liabilities reductions related to operating lease terminations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 modifications</w:t>
            </w: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r>
    </w:tbl>
    <w:p>
      <w:pPr>
        <w:spacing w:after="0" w:line="292"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October 31, 2025 were 7.02 years and 6.8%,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Future minimum lease payments as of October 31, 2025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14,264</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Revolving Credit Facility</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“2022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“2022 Credit Facility”). The 2022 Credit Facility included borrowing capacity available for letters of credit subject to a sublimit of $7.5 million. Any issuance of letters of credit would have reduced the amount available under the 2022 Credit Facility. The Company was also required to maintain at least $5.0 million of the Company’s cash and/or marketable securities with the Lender.</w:t>
      </w:r>
    </w:p>
    <w:p>
      <w:pPr>
        <w:spacing w:after="0" w:line="187"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On February 9, 2024, the Company entered into a First Amendment to extend the existing maturity date of the 2022 Credit Facility provided for under the 2022 Credit Agreement to February 11, 2025.</w:t>
      </w:r>
    </w:p>
    <w:p>
      <w:pPr>
        <w:spacing w:after="0" w:line="16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which increased our borrowing availability to $100.0 million and extended the existing maturity date of the 2022 Credit Facility to March 17, 2029.</w:t>
      </w:r>
    </w:p>
    <w:p>
      <w:pPr>
        <w:spacing w:after="0" w:line="162"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2022 Credit Facility accrued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was also required to pay an unused commitment fee to the Lender of 0.30% of the average daily unutilized commitments (with a step down based on achievement of a certain leverage ratio). The Company was also required to pay customary letter of credit fees.</w:t>
      </w:r>
    </w:p>
    <w:p>
      <w:pPr>
        <w:spacing w:after="0" w:line="187"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On October 28, 2024, the Company terminated the 2022 Credit Agreement above and entered into a new Credit Agreement (the “2024 Credit Agreement”), by and among the Company, nCino OpCo, Inc. (the “Borrower”), certain subsidiaries of the Company as guarantors, the lenders party thereto (the “Lenders”) and Bank of America, N.A. as administrative agent (the “Agent”). 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spacing w:after="0" w:line="18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Borrowings under the 2024 Credit Facility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 ups based 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certain leverage ratios. The Company is also required to pay an unused commitment fee to the Lenders of 0.25% of the average daily unutilized commitments (with step ups based on certain leverage ratios). The Company must also pay customary letter of credit fees.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at any time without penalty. Borrowings under the 2024 Credit Facility may be reborrowed.</w:t>
      </w:r>
    </w:p>
    <w:p>
      <w:pPr>
        <w:spacing w:after="0" w:line="225"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in each case, commencing with the fiscal quarter ended January 31, 2025.</w:t>
      </w:r>
    </w:p>
    <w:p>
      <w:pPr>
        <w:spacing w:after="0" w:line="180"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2024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80"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2025 and October 31, 2025, unamortized debt issuance costs were $1.4 million and $1.1 million, respectively, and are included in long-term prepaid expenses and other assets.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had $166.0 million and $203.5 million outstanding and no letters of credit issued under the 2024 Credit Facility and was in compliance with all covenants as of January 31, 2025 and October 31, 2025, respectively. As of October 31, 2025, the applicable interest rate was 6.16%. The available borrowing capacity under the 2024 Credit Facility was $46.5 million as of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58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9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leases will be analyzed for applicable lease accounting upon expiration of the purchase option, if not exercised.</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October 31, 2025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95"/>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6"/>
                <w:szCs w:val="16"/>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228"/>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 (remaining three months)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49,617</w:t>
            </w: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October 31, 2025 was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2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 the opinion of management of the Company, however, there are no proceedings or claims pending against the Company that we believe are likely to have a material adverse effect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Related-Party Transactions</w:t>
      </w:r>
    </w:p>
    <w:p>
      <w:pPr>
        <w:spacing w:after="0" w:line="229" w:lineRule="exact"/>
        <w:rPr>
          <w:sz w:val="20"/>
          <w:szCs w:val="20"/>
          <w:color w:val="auto"/>
        </w:rPr>
      </w:pPr>
    </w:p>
    <w:p>
      <w:pPr>
        <w:jc w:val="both"/>
        <w:ind w:right="60" w:firstLine="891"/>
        <w:spacing w:after="0" w:line="281" w:lineRule="auto"/>
        <w:rPr>
          <w:sz w:val="20"/>
          <w:szCs w:val="20"/>
          <w:color w:val="auto"/>
        </w:rPr>
      </w:pPr>
      <w:r>
        <w:rPr>
          <w:rFonts w:ascii="Times New Roman" w:cs="Times New Roman" w:eastAsia="Times New Roman" w:hAnsi="Times New Roman"/>
          <w:sz w:val="17"/>
          <w:szCs w:val="17"/>
          <w:color w:val="auto"/>
        </w:rPr>
        <w:t>On November 1, 2022, the Company’s wholly-owned subsidiary, nCino OpCo, acquired preferred shares of ZestFinance, Inc. (d/b/a ZEST AI) (“Zest AI”), a private company, and is included in investments on the Company’s consolidated balance sheets for $2.5 million as of January 31, 2025, and on the unaudited condensed consolidated balance sheets for $0.0 million as of October 31, 2025. The investment was considered a related party transaction as entities affiliated with Insight Partners, a beneficial owner of the Company as of November 1, 2022, owned greater than ten percent of Zest AI.</w:t>
      </w:r>
    </w:p>
    <w:p>
      <w:pPr>
        <w:spacing w:after="0" w:line="164"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year 2026, we sold all our shares in Zest AI and recorded a realized gain of $1.2 million. At the time of this transaction, Zest AI was no longer considered a related party.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Basic and Diluted Net Income (Loss) per Share</w:t>
      </w:r>
    </w:p>
    <w:p>
      <w:pPr>
        <w:spacing w:after="0" w:line="229" w:lineRule="exact"/>
        <w:rPr>
          <w:sz w:val="20"/>
          <w:szCs w:val="20"/>
          <w:color w:val="auto"/>
        </w:rPr>
      </w:pPr>
    </w:p>
    <w:p>
      <w:pPr>
        <w:ind w:right="80" w:firstLine="891"/>
        <w:spacing w:after="0" w:line="277" w:lineRule="auto"/>
        <w:rPr>
          <w:sz w:val="20"/>
          <w:szCs w:val="20"/>
          <w:color w:val="auto"/>
        </w:rPr>
      </w:pPr>
      <w:r>
        <w:rPr>
          <w:rFonts w:ascii="Times New Roman" w:cs="Times New Roman" w:eastAsia="Times New Roman" w:hAnsi="Times New Roman"/>
          <w:sz w:val="17"/>
          <w:szCs w:val="17"/>
          <w:color w:val="auto"/>
        </w:rPr>
        <w:t>Basic net income (loss) per share is computed by dividing net income (loss) attributable to nCino, Inc. by the weighted-average number of common shares outstanding for the fiscal period, net of treasury stock. Diluted net income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There is no difference between the basic and diluted loss per share when there is a net loss because inclusion of potentially issuable shares would be anti-dilutive.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for periods presented are as follows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114,407,430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113,594,540</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nCino,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10"/>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24"/>
                <w:szCs w:val="24"/>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114,407,430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113,594,540</w:t>
            </w:r>
          </w:p>
        </w:tc>
      </w:tr>
      <w:tr>
        <w:trPr>
          <w:trHeight w:val="175"/>
        </w:trPr>
        <w:tc>
          <w:tcPr>
            <w:tcW w:w="524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Effect of diluted stock options, unvested RSUs, and shares of</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common stock issuable under the ESPP</w:t>
            </w:r>
          </w:p>
        </w:tc>
        <w:tc>
          <w:tcPr>
            <w:tcW w:w="2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1,422,788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115,611,833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115,830,218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114,970,622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113,594,540</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nCino,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net income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gridSpan w:val="3"/>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2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920,412</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535,929</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54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6,367,467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6,770,521</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54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77,914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88,428</w:t>
            </w:r>
          </w:p>
        </w:tc>
      </w:tr>
      <w:tr>
        <w:trPr>
          <w:trHeight w:val="904"/>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a SaaS company. As such, the Company has one operating and reportable segment. The CODM uses consolidated net income (loss) in deciding how to make operating decisions, allocate resources, and assess performance, including whether to reinvest profits into the existing business or to use in other ways, such as for acquisitions.</w:t>
      </w:r>
    </w:p>
    <w:p>
      <w:pPr>
        <w:spacing w:after="0" w:line="2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that is provided to our CODM:</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445,115</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148,581</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 expense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78,753</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80,937</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(income) expense, net</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8"/>
        <w:spacing w:after="0" w:line="279"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 sales and marketing expense, research and development expense, and general and administrative expense in the consolidated statements of operations, adjusted to exclude amortization of intangible assets, stock-based compensation expense, acquisition-related expenses, certain litigation expenses, and restructuring and related charges, if any.</w:t>
      </w:r>
    </w:p>
    <w:p>
      <w:pPr>
        <w:spacing w:after="0" w:line="168" w:lineRule="exact"/>
        <w:rPr>
          <w:rFonts w:ascii="Times New Roman" w:cs="Times New Roman" w:eastAsia="Times New Roman" w:hAnsi="Times New Roman"/>
          <w:sz w:val="20"/>
          <w:szCs w:val="20"/>
          <w:color w:val="auto"/>
          <w:vertAlign w:val="superscript"/>
        </w:rPr>
      </w:pPr>
    </w:p>
    <w:p>
      <w:pPr>
        <w:ind w:right="140" w:firstLine="8"/>
        <w:spacing w:after="0" w:line="279" w:lineRule="auto"/>
        <w:tabs>
          <w:tab w:leader="none" w:pos="16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Beginning in the first quarter of fiscal 2026, other (income) expense, net in the consolidated statements of operations, adjusted to exclude intercompany foreign currency exchange gains or losses from the remeasurement of intercompany loans and transactions that are denominated in currencies other than the underlying functional currency of the applicable entity. Prior period amounts recast to conform to the current presentation.</w:t>
      </w:r>
    </w:p>
    <w:p>
      <w:pPr>
        <w:spacing w:after="0" w:line="150"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are the adjustments described in the notes above.</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43,508</w:t>
            </w:r>
          </w:p>
        </w:tc>
      </w:tr>
      <w:tr>
        <w:trPr>
          <w:trHeight w:val="223"/>
        </w:trPr>
        <w:tc>
          <w:tcPr>
            <w:tcW w:w="5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445,115</w:t>
            </w:r>
          </w:p>
        </w:tc>
      </w:tr>
      <w:tr>
        <w:trPr>
          <w:trHeight w:val="21"/>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than the region of the customer. For the three and nine months ended October 31, 2024 and 2025, only the United Kingdom, in addition to the United States, represented 10% or more of total revenues for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Long-lived assets, which consist of property and equipment, net and operating lease right-of-use assets, net by geographic region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0" w:type="dxa"/>
            <w:vAlign w:val="bottom"/>
          </w:tcPr>
          <w:p>
            <w:pPr>
              <w:spacing w:after="0"/>
              <w:rPr>
                <w:sz w:val="13"/>
                <w:szCs w:val="13"/>
                <w:color w:val="auto"/>
              </w:rPr>
            </w:pPr>
          </w:p>
        </w:tc>
        <w:tc>
          <w:tcPr>
            <w:tcW w:w="12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As of October 31,</w:t>
            </w: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71,187</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16,228</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89,261</w:t>
            </w: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w:t>
      </w:r>
    </w:p>
    <w:p>
      <w:pPr>
        <w:spacing w:after="0" w:line="229"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2026, the Company announced a workforce reduction of approximately 7% and office space reductions in certain markets (collectively, the “Restructuring Plan”) in furtherance of its efforts to improve operational efficiencies. The Company substantially completed the Restructuring Plan during the second quarter of fiscal 2026. An additional $0.1 million was recorded in the third quarter, and the Company expects to finalize the process in fiscal 2026, subject to local law and consultation requirements.</w:t>
      </w:r>
    </w:p>
    <w:p>
      <w:pPr>
        <w:spacing w:after="0" w:line="180"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color w:val="auto"/>
        </w:rPr>
        <w:t>Our restructuring costs consist primarily of severance and termination benefits, exit costs and asset write-offs. Severance costs generally include severance payments, out placement services, health insurance coverage and employer tax liabilities. Exit costs primarily consist of lease exit and contract termination costs. Lease termination costs include $1.7 million in lease termination payments, offset by a $0.6 million gain to derecognize the operating lease right-of-use assets and operating lease liabilities.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restructuring charges for the nine months ended October 31, 2025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Costs</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 Write-offs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activity of the Restructuring Plan liabilities was as follows:</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October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ind w:left="1153" w:hanging="1153"/>
        <w:spacing w:after="0"/>
        <w:tabs>
          <w:tab w:leader="none" w:pos="115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10,129</w:t>
      </w:r>
    </w:p>
    <w:p>
      <w:pPr>
        <w:spacing w:after="0" w:line="22"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(8,043)</w:t>
      </w:r>
    </w:p>
    <w:p>
      <w:pPr>
        <w:spacing w:after="0" w:line="22" w:lineRule="exact"/>
        <w:rPr>
          <w:rFonts w:ascii="Times New Roman" w:cs="Times New Roman" w:eastAsia="Times New Roman" w:hAnsi="Times New Roman"/>
          <w:sz w:val="18"/>
          <w:szCs w:val="18"/>
          <w:color w:val="auto"/>
        </w:rPr>
      </w:pPr>
    </w:p>
    <w:p>
      <w:pPr>
        <w:ind w:left="9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w:t>
      </w:r>
    </w:p>
    <w:p>
      <w:pPr>
        <w:spacing w:after="0" w:line="31" w:lineRule="exact"/>
        <w:rPr>
          <w:sz w:val="20"/>
          <w:szCs w:val="20"/>
          <w:color w:val="auto"/>
        </w:rPr>
      </w:pPr>
    </w:p>
    <w:p>
      <w:pPr>
        <w:ind w:left="933" w:hanging="933"/>
        <w:spacing w:after="0"/>
        <w:tabs>
          <w:tab w:leader="none" w:pos="9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1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Restructuring Plan liabilities are included in our unaudited condensed consolidated balance sheets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As of October 31,</w:t>
            </w:r>
          </w:p>
        </w:tc>
      </w:tr>
      <w:tr>
        <w:trPr>
          <w:trHeight w:val="195"/>
        </w:trPr>
        <w:tc>
          <w:tcPr>
            <w:tcW w:w="9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accrued expenses and 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Included in other long-term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unaudited condensed consolidated financial statements and related notes and other financial information included in this Quarterly Report on Form 10-Q and our Annual Report on Form 10-K for the fiscal year ended January 31, 2025 filed with the SEC on April 1, 2025.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2026" refer to the fiscal year ended January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As employees at financial institutions do their daily work and serve their clients, they often face inefficiencies from disparate systems, broken workflows, manual processes, and the inability to harness and utilize data effectively. This negatively impacts risk management, decision making, and the experiences of bankers and their clients.</w:t>
      </w:r>
    </w:p>
    <w:p>
      <w:pPr>
        <w:spacing w:after="0" w:line="176"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To solve the problem, FIs need technology that helps them reengineer every experience, intelligently and with agility as market needs shift, and a partner with the experience to help advise on best practices.</w:t>
      </w:r>
    </w:p>
    <w:p>
      <w:pPr>
        <w:spacing w:after="0" w:line="162" w:lineRule="exact"/>
        <w:rPr>
          <w:sz w:val="20"/>
          <w:szCs w:val="20"/>
          <w:color w:val="auto"/>
        </w:rPr>
      </w:pPr>
    </w:p>
    <w:p>
      <w:pPr>
        <w:ind w:right="560" w:firstLine="891"/>
        <w:spacing w:after="0" w:line="266" w:lineRule="auto"/>
        <w:rPr>
          <w:sz w:val="20"/>
          <w:szCs w:val="20"/>
          <w:color w:val="auto"/>
        </w:rPr>
      </w:pPr>
      <w:r>
        <w:rPr>
          <w:rFonts w:ascii="Times New Roman" w:cs="Times New Roman" w:eastAsia="Times New Roman" w:hAnsi="Times New Roman"/>
          <w:sz w:val="18"/>
          <w:szCs w:val="18"/>
          <w:color w:val="auto"/>
        </w:rPr>
        <w:t>nCino’s trusted platform enables FIs to consolidate vendors while optimizing operations by integrating artificial intelligence (“AI”) and actionable insights to cohesively bring together people and data and thereby enhance strategic decision-making, risk management, and customer satisfaction.</w:t>
      </w:r>
    </w:p>
    <w:p>
      <w:pPr>
        <w:spacing w:after="0" w:line="176"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From managing complex credit portfolios to streamlining account onboarding and originating loans, nCino helps FIs of all sizes globally deliver faster, intelligent, and more connected experiences. With the nCino Platform, FIs can:</w:t>
      </w:r>
    </w:p>
    <w:p>
      <w:pPr>
        <w:spacing w:after="0" w:line="162"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the power of intelligent automation and uncover data-drive insights,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and customer experiences,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help ensure compliance more effectively.</w:t>
      </w:r>
    </w:p>
    <w:p>
      <w:pPr>
        <w:spacing w:after="0" w:line="225"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nCino was originally founded in a bank to improve that institution’s operations and client service. After realizing that virtually all banks and credit unions face the same problems—cumbersome legacy technology, fragmented data, disconnected business functions, and a disengaged workforce which made it difficult to maintain relevancy in their clients’ lives— nCino was spun out as a separate company in late 2011 to help more institutions solve these challenges using cloud-based technology.</w:t>
      </w:r>
    </w:p>
    <w:p>
      <w:pPr>
        <w:spacing w:after="0" w:line="180"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Asia-Pacific (“APAC”).</w:t>
      </w:r>
    </w:p>
    <w:p>
      <w:pPr>
        <w:spacing w:after="0" w:line="176"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nCino’s approach to market expansion includes strategically building products and acquiring technology to continue to fulfill a platform vision. Over the years, we built and enhanced products internally to ensure innovation and seamless integration across key solution lines of commercial, small business, and consumer banking. Through the strategic acquisitions of SimpleNexus, DocFox, FullCircl, ILT, Visible Equity, FinSuite and most recently, Sandbox Banking, we significantly augmented nCino’s Platform capabilities for mortgage lending, onboarding, account opening, indirect auto lending, and advanced analytics and AI. This approach has allowed us to create a unified platform of best-in-class intelligent solutions, enabling FIs to replace multiple legacy systems, connect their operations, and streamline workflows and processes across various business lines to achieve desired impact and process improvement.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We generally offer the nCino Platform on a subscription basis pursuant to non-cancellable multi-year contracts that are typically three to five years in duration. nCino has evolved from a single product workflow solution to a platform of best-in-class, intelligent solutions. Our new Intelligent Solution Framework pricing model helps ensure the value-based positioning and pricing of our products and creates an opportunity to embed intelligence into all our solutions. Starting in fiscal 2025, by moving away from a seat-based pricing model to pricing directly correlated to the FI’s assets, transaction or processing volumes, we began to more directly align our revenues to the usefulness the nCino Platform provides as nCino creates efficiencies for our customers.</w:t>
      </w:r>
    </w:p>
    <w:p>
      <w:pPr>
        <w:spacing w:after="0" w:line="187" w:lineRule="exact"/>
        <w:rPr>
          <w:sz w:val="20"/>
          <w:szCs w:val="20"/>
          <w:color w:val="auto"/>
        </w:rPr>
      </w:pPr>
    </w:p>
    <w:p>
      <w:pPr>
        <w:jc w:val="both"/>
        <w:ind w:right="34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October 31, 2025, we had 182 sales and sales support personnel in the U.S. and 133 sales and support personnel in offices outside the U.S.</w:t>
      </w:r>
    </w:p>
    <w:p>
      <w:pPr>
        <w:spacing w:after="0" w:line="158"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Current Events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Effective February 1, 2025, Pierre Naudé retired as the Company’s Chairman and Chief Executive Officer and Sean Desmond was appointed to succeed Mr. Naudé as the Company’s new President and Chief Executive Officer and as a member of the Company’s Board of Directors. On the same date, Mr. Naudé was appointed Executive Chairman of the Board</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300" w:firstLine="891"/>
        <w:spacing w:after="0" w:line="256" w:lineRule="auto"/>
        <w:rPr>
          <w:sz w:val="20"/>
          <w:szCs w:val="20"/>
          <w:color w:val="auto"/>
        </w:rPr>
      </w:pPr>
      <w:r>
        <w:rPr>
          <w:rFonts w:ascii="Times New Roman" w:cs="Times New Roman" w:eastAsia="Times New Roman" w:hAnsi="Times New Roman"/>
          <w:sz w:val="18"/>
          <w:szCs w:val="18"/>
          <w:color w:val="auto"/>
        </w:rPr>
        <w:t>On February 7, 2025, (the “Sandbox Acquisition Date”) we acquired Alphapack, Co. dba Sandbox Banking (“Sandbox Banking”), a digital transformation leader serving the financial services industry, for an aggregate purchase price of $62.9 million, inclusive of an additional earn-out opportunity of up to $10.0 million. This acquisition strengthens our ability to enhance data connectivity and streamline operations for banks and credit unions through an industry-leading Integration Platform as a Service (“iPaaS”) solution for a more intelligent and harmonious technology platform. See Note 6 “Business Combinations” of the notes to our unaudited condensed consolidated financial statements included in Part I, Item I of this Quarterly Report on Form 10-Q for additional information.</w:t>
      </w:r>
    </w:p>
    <w:p>
      <w:pPr>
        <w:spacing w:after="0" w:line="187" w:lineRule="exact"/>
        <w:rPr>
          <w:sz w:val="20"/>
          <w:szCs w:val="20"/>
          <w:color w:val="auto"/>
        </w:rPr>
      </w:pPr>
    </w:p>
    <w:p>
      <w:pPr>
        <w:ind w:right="220" w:firstLine="891"/>
        <w:spacing w:after="0" w:line="256"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“Stock Repurchase Program”). During the three and nine months ended October 31, 2025, we repurchased 1.4 million and 4.0 million shares of our outstanding common stock for $39.5 million and $100.0 million, respectively, excluding transaction costs and excise tax associated with the repurchases. As of October 31, 2025, no amounts remain available for future repurchases under the Stock Repurchase Program. See Note 8 “Stockholders’ Equity” of the notes to our unaudited condensed consolidated financial statements included in Part I, Item I of this Quarterly Report on Form 10-Q for more information.</w:t>
      </w:r>
    </w:p>
    <w:p>
      <w:pPr>
        <w:spacing w:after="0" w:line="187"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We funded the purchase of Sandbox Banking and our purchases under the Stock Repurchase Program primarily through borrowings under our credit facility.</w:t>
      </w:r>
    </w:p>
    <w:p>
      <w:pPr>
        <w:spacing w:after="0" w:line="162"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On May 27, 2025, we announced the Restructuring Plan in furtherance of our efforts to improve operational efficiencies. We incurred charges of $10.1 million for the nine months ended October 31, 2025 in connection with the Restructuring Plan. See Note 15 “Restructuring” of the notes to our unaudited condensed consolidated financial statements included in Part I, Item 1 of this Quarterly Report on Form 10-Q for additional information.</w:t>
      </w:r>
    </w:p>
    <w:p>
      <w:pPr>
        <w:spacing w:after="0" w:line="176"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For the three months ended October 31, 2024 and 2025, our total revenues were $138.8 million and $152.2 million, respectively, representing a 9.6% increase. For the three months ended October 31, 2024 and 2025, our subscription revenues were $119.9 million and $133.4 million, respectively, representing an 11.3% increase. We recorded net income attributable to nCino, Inc. of $6.5 million for the three months ended October 31, 2025, compared to a net loss attributable to nCino, Inc. of $5.3 million for the three months ended October 31, 2024. For the nine months ended October 31, 2024 and 2025, our total revenues were $399.3 million and $445.1 million, respectively, representing an 11.5% increase. For the nine months ended October 31, 2024 and 2025, our subscription revenues were $344.2 million and $389.8 million, respectively, representing a 13.2% increase. We recorded net loss attributable to nCino, Inc. of $3.2 million for the nine months ended October 31, 2025, compared to net loss attributable to nCino, Inc. of $19.3 million for the nine months ended October 31, 2024. Our total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subscription revenues include an aggregate of $5.2 million from FullCircl and Sandbox Banking for the three months ended October 31, 2025 and $16.1 million for the nine months ended October 31, 2025. We have included the financial results of Sandbox Banking in the unaudited condensed consolidated financial statements from the Sandbox Acquisition Date. For fiscal 2026, our financial results also include the operating results of our fiscal 2025 acquisitions of DocFox, ILT, and FullCircl from their acquisition dates of March 20, 2024, April 1, 2024, and November 5,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new asset-based pricing model that formally started in fiscal 2025 will also be a key driver. In addition, growing our customer base will require us to increasingly penetrate markets outside the U.S., which accounted for 22.1% of total revenues for the three months ended October 31, 2025 and 22.2% for the nine months ended October 31, 2025.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5"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we expect subscription revenues will continue to make up an increasing proportion of our total revenues.</w:t>
      </w:r>
    </w:p>
    <w:p>
      <w:pPr>
        <w:spacing w:after="0" w:line="182" w:lineRule="exact"/>
        <w:rPr>
          <w:sz w:val="20"/>
          <w:szCs w:val="20"/>
          <w:color w:val="auto"/>
        </w:rPr>
      </w:pPr>
    </w:p>
    <w:p>
      <w:pPr>
        <w:jc w:val="both"/>
        <w:ind w:right="62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fluctuating interest rate environment with inflationary pressures.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have had an impact on the real estate market in the U.S. and specifically, the demand for mortgages and mortgage-related products and services, which has had a negative impact on our U.S.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right="4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jc w:val="both"/>
        <w:ind w:right="80" w:firstLine="891"/>
        <w:spacing w:after="0" w:line="315" w:lineRule="auto"/>
        <w:rPr>
          <w:sz w:val="20"/>
          <w:szCs w:val="20"/>
          <w:color w:val="auto"/>
        </w:rPr>
      </w:pPr>
      <w:r>
        <w:rPr>
          <w:rFonts w:ascii="Times New Roman" w:cs="Times New Roman" w:eastAsia="Times New Roman" w:hAnsi="Times New Roman"/>
          <w:sz w:val="17"/>
          <w:szCs w:val="17"/>
          <w:i w:val="1"/>
          <w:iCs w:val="1"/>
          <w:color w:val="auto"/>
        </w:rPr>
        <w:t>Subscription Revenues</w:t>
      </w:r>
      <w:r>
        <w:rPr>
          <w:rFonts w:ascii="Times New Roman" w:cs="Times New Roman" w:eastAsia="Times New Roman" w:hAnsi="Times New Roman"/>
          <w:sz w:val="17"/>
          <w:szCs w:val="17"/>
          <w:color w:val="auto"/>
        </w:rPr>
        <w:t>. Our subscription revenues consist principally of fees from customers for accessing our solutions and maintenance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services that we generally offer under non-cancellable multi-year contracts, which are typically three to five years in length. Specifically, we offer:</w:t>
      </w:r>
    </w:p>
    <w:p>
      <w:pPr>
        <w:spacing w:after="0" w:line="137" w:lineRule="exact"/>
        <w:rPr>
          <w:sz w:val="20"/>
          <w:szCs w:val="20"/>
          <w:color w:val="auto"/>
        </w:rPr>
      </w:pPr>
    </w:p>
    <w:p>
      <w:pPr>
        <w:ind w:left="1300" w:right="40" w:hanging="320"/>
        <w:spacing w:after="0" w:line="261"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to implement our new pricing model, we expect the number of customers we charge based on asset size will increase considerably.</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U.S. mortgage business, a digital homeownership solution uniting people, systems, and stages of the mortgage process into a seamless end-to-end journey for which we generally charge on a per seat or anticipated lending volume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typically activate all seats at inception of the agreement with stated price increases. In these arrangements, the aggregate license fees over the contract term are recognized as revenue in equal amounts annually over the term. We may also activate a portion of seats at inception of the agreement, with the balance of seats activated at contractually specified points in time thereafter. Both approaches pattern our invoicing after the customer’s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spacing w:after="0" w:line="19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 smaller credit unions, and our U.S. mortgage business.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3"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years. Sales and marketing expenses also include outside consulting fees, marketing programs, including lead generation, costs of our annual user conference, advertising, trade shows and other event expenses, amortization of intangible assets, and allocated overhead. We expect sales and marketing expenses to increase as a percentage of revenues as we expand more into credit unions in the U.S. and on the European continent.</w:t>
      </w:r>
    </w:p>
    <w:p>
      <w:pPr>
        <w:spacing w:after="0" w:line="174"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changes in fair value of contingent consideration, and allocated overhead, as well as acquisition-related expenses, such as legal and other professional services fees. We expect general and administrative expenses will decrease as a percentage of revenues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jc w:val="both"/>
        <w:ind w:right="4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 Also included is interest expense accretion for a deferred payment on the acquisition of FullCircl.</w:t>
      </w:r>
    </w:p>
    <w:p>
      <w:pPr>
        <w:spacing w:after="0" w:line="173" w:lineRule="exact"/>
        <w:rPr>
          <w:sz w:val="20"/>
          <w:szCs w:val="20"/>
          <w:color w:val="auto"/>
        </w:rPr>
      </w:pPr>
    </w:p>
    <w:p>
      <w:pPr>
        <w:ind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remeasurement of intercompany loans that are denominated in currencies other than the underlying functional currency of the applicable entity.</w:t>
      </w:r>
    </w:p>
    <w:p>
      <w:pPr>
        <w:spacing w:after="0" w:line="158" w:lineRule="exact"/>
        <w:rPr>
          <w:sz w:val="20"/>
          <w:szCs w:val="20"/>
          <w:color w:val="auto"/>
        </w:rPr>
      </w:pPr>
    </w:p>
    <w:p>
      <w:pPr>
        <w:ind w:right="4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consists of federal and state income taxes in the U.S. and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and nine months ended October 31, 2024 and 2025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1"/>
              <w:spacing w:after="0" w:line="19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1"/>
              <w:spacing w:after="0" w:line="19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color w:val="auto"/>
                <w:vertAlign w:val="superscript"/>
              </w:rPr>
              <w:t>(1)</w:t>
            </w: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389,751</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55,364</w:t>
            </w: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445,115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65,319</w:t>
            </w: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176,862</w:t>
            </w: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268,253</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103,343</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97,549</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66,454</w:t>
            </w: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267,346</w:t>
            </w: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w:t>
            </w: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20" w:firstLine="8"/>
        <w:spacing w:after="0" w:line="251"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the operating results of DocFox, ILT, FullCircl and Sandbox Banking from the DocFox Acquisition Date, the ILT Acquisition Date, FullCircl Acquisition Date and the Sandbox Acquisition Date, respectively, see Note 6 “Business Combinations” of the notes to our unaudited condensed consolidated financial statements included in Part I, Item 1 of this Quarterly Report on Form 10-Q for additional information.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18,506</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52,681</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96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vMerge w:val="continue"/>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27,581</w:t>
            </w:r>
          </w:p>
        </w:tc>
      </w:tr>
      <w:tr>
        <w:trPr>
          <w:trHeight w:val="21"/>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100" w:type="dxa"/>
            <w:vAlign w:val="bottom"/>
            <w:gridSpan w:val="3"/>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r>
      <w:tr>
        <w:trPr>
          <w:trHeight w:val="184"/>
        </w:trPr>
        <w:tc>
          <w:tcPr>
            <w:tcW w:w="4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118.0</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60.3</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5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5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98"/>
        </w:trPr>
        <w:tc>
          <w:tcPr>
            <w:tcW w:w="49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October 31, 2024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Professional services and other</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2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138,797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152,163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399,287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445,115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Subscription revenues increased $13.5 million for the three months ended October 31, 2025 compared to the three months ended October 31, 2024, primarily attributable to initial revenues from customers who did not contribute to subscription revenues during the prior period, and growth from existing customers within and across lines of business. Of the increase, 48.0% was attributable to increased revenues from existing customers as customers expanded their use and adoption of our solutions, and 52.0% was attributable to initial revenues from customers who did not contribute to subscription revenues during the three months ended October 31, 2024. Subscription revenues were 87.7% of total revenues for the three months ended October 31, 2025 compared to 86.4% of total revenues for the three months ended October 31, 2024, primarily due to growth in our installed base.</w:t>
      </w:r>
    </w:p>
    <w:p>
      <w:pPr>
        <w:spacing w:after="0" w:line="187"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Subscription revenues increased $45.5 million for the nine months ended October 31, 2025 compared to the nine months ended October 31, 2024, primarily attributable to initial revenues from customers who did not contribute to subscription revenues during the prior period, and growth from existing customers within and across lines of business. Of the increase, 57.7% was attributable to increased revenues from existing customers as customers expanded their use and adoption of our solutions, and 42.3% was attributable to initial revenues from customers who did not contribute to subscription revenues during the nine months ended October 31, 2024. Subscription revenues were 87.6% of total revenues for the nine months ended October 31, 2025 compared to 86.2% of total revenues for the nine months ended October 31, 2024, primarily due to growth in our installed base.</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revenues decreased $0.2 million for the three months ended October 31, 2025 compared to the three months ended October 31, 2024, primarily attributable to the mix of solutions being implemented and certain markets yielding lower effective bill rates.</w:t>
      </w:r>
    </w:p>
    <w:p>
      <w:pPr>
        <w:spacing w:after="0" w:line="162" w:lineRule="exact"/>
        <w:rPr>
          <w:sz w:val="20"/>
          <w:szCs w:val="20"/>
          <w:color w:val="auto"/>
        </w:rPr>
      </w:pPr>
    </w:p>
    <w:p>
      <w:pPr>
        <w:ind w:right="420" w:firstLine="891"/>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revenues increased $0.3 million for the nine months ended October 31, 2025 compared to the nine months ended October 31, 2024, primarily attributable to the mix of solutions being implemented.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98,916</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111,543</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professional services and</w:t>
            </w: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w:t>
            </w: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59,940</w:t>
            </w: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65,319</w:t>
            </w: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53,745</w:t>
            </w:r>
          </w:p>
        </w:tc>
        <w:tc>
          <w:tcPr>
            <w:tcW w:w="3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58,477</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158,856</w:t>
            </w:r>
          </w:p>
        </w:tc>
        <w:tc>
          <w:tcPr>
            <w:tcW w:w="34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176,862</w:t>
            </w:r>
          </w:p>
        </w:tc>
        <w:tc>
          <w:tcPr>
            <w:tcW w:w="32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0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85,052</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93,686</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268,253</w:t>
            </w: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Cost of subscription revenues increased $3.7 million for the three months ended October 31, 2025 compared to the three months ended October 31, 2024, generating a gross margin for subscription revenues of 71.9% and 71.8% for the three months ended October 31, 2025 and 2024, respectively. The dollar increase was primarily attributable to a $2.5 million increase in other data costs and a $0.5 million increase in costs related to Salesforce user fees as we continued to add new customers and sell additional functionality to existing customers. The increase also included a $0.7 million increase in amortization expense related to acquired intangible assets. We expect the cost of subscription revenues will continue to increase in absolute dollars as the number of users of the nCino Platform grows.</w:t>
      </w:r>
    </w:p>
    <w:p>
      <w:pPr>
        <w:spacing w:after="0" w:line="187"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Cost of subscription revenues increased $12.6 million for the nine months ended October 31, 2025 compared to the nine months ended October 31, 2024, generating a gross margin for subscription revenues of 71.4% compared to a gross margin of 71.3% for the nine months ended October 31, 2024. The dollar increase was primarily attributable to a $8.0 million increase in other data costs and a $0.9 million increase in costs related to Salesforce user fees as we continued to add new customers and sell additional functionality to existing customers. The increase also included a $2.4 million increase in amortization expense related to acquired intangible assets, as well as a $1.1 million increase in personnel costs due to restructuring costs incurred in connection with the Restructuring Plan and compensation increases. We expect the cost of subscription revenues will continue to increase in absolute dollars as the number of users of the nCino Platform grows.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$1.1 million for the three months ended October 31, 2025 compared to the three months ended October 31, 2024, generating a gross margin for professional services and other revenues of (12.3)% compared to a gross margin of (5.7)% for the three months ended October 31, 2024. For the three months ended October 31, 2025, personnel costs, including stock-based compensation expense, increased $1.0 million compared to the three months ended October 31, 2024, primarily attributable to compensation increases. The increase also included a $0.3 million increase in allocated overhead primarily attributable to internal investments in AI technology. The decrease in our professional services and other gross margin for the three months ended October 31, 2025 was primarily attributable to strategic investments in expanding our professional service capabilities, coupled with lower effective billing and utilization rates.</w:t>
      </w:r>
    </w:p>
    <w:p>
      <w:pPr>
        <w:spacing w:after="0" w:line="189" w:lineRule="exact"/>
        <w:rPr>
          <w:sz w:val="20"/>
          <w:szCs w:val="20"/>
          <w:color w:val="auto"/>
        </w:rPr>
      </w:pPr>
    </w:p>
    <w:p>
      <w:pPr>
        <w:ind w:right="180" w:firstLine="891"/>
        <w:spacing w:after="0" w:line="254"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$5.4 million for the nine months ended October 31, 2025 compared to the nine months ended October 31, 2024, generating a gross margin for professional services and other revenues of (18.0)% compared to a gross margin of (8.8)% for the nine months ended October 31, 2024. For the nine months ended October 31, 2025, personnel costs, including stock-based compensation expense, increased $4.4 million compared to the nine months ended October 31, 2024, mainly from an increase in headcount primarily due to acquisitions and restructuring costs incurred in connection with the Restructuring Plan. The increase also included a $1.0 million increase in allocated overhead primarily attributable to internal investments in AI technology. The decrease in our professional services and other gross margin for the nine months ended October 31, 2025 was primarily attributable to strategic investments in expanding our professional service capabilities, coupled with lower effective billing and utilization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4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155"/>
        </w:trPr>
        <w:tc>
          <w:tcPr>
            <w:tcW w:w="3000" w:type="dxa"/>
            <w:vAlign w:val="bottom"/>
          </w:tcPr>
          <w:p>
            <w:pPr>
              <w:ind w:left="1120"/>
              <w:spacing w:after="0" w:line="156" w:lineRule="exact"/>
              <w:rPr>
                <w:sz w:val="20"/>
                <w:szCs w:val="20"/>
                <w:color w:val="auto"/>
              </w:rPr>
            </w:pPr>
            <w:r>
              <w:rPr>
                <w:rFonts w:ascii="Times New Roman" w:cs="Times New Roman" w:eastAsia="Times New Roman" w:hAnsi="Times New Roman"/>
                <w:sz w:val="18"/>
                <w:szCs w:val="18"/>
                <w:color w:val="auto"/>
              </w:rPr>
              <w:t>Income (loss) from</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30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operations</w:t>
            </w:r>
          </w:p>
        </w:tc>
        <w:tc>
          <w:tcPr>
            <w:tcW w:w="22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$3.4 million for the three months ended October 31, 2025 compared to the three months ended October 31, 2024, primarily attributable to an increase of $1.5 million in allocated overhead, inclusive of a $1.2 million increase in amortization expenses for acquired intangible assets. The increase in sales and marketing expenses also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included an increase of $1.3 million in personnel costs driven by an increase in headcount, mainly attributable to acquisitions, inclusive of a $0.4 million decrease in stock-based compensation expense. There was also a favorable prior year payroll tax adjustment in the amount of $0.5 million from certain of our foreign subsidiaries that did not recur in the current year in personnel costs. The increase in sales and marketing expenses also included $0.5 million in additional marketing costs.</w:t>
      </w:r>
    </w:p>
    <w:p>
      <w:pPr>
        <w:spacing w:after="0" w:line="180"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Sales and marketing expenses increased $13.9 million for the nine months ended October 31, 2025 compared to the nine months ended October 31, 2024, primarily attributable to an increase of $6.3 million in personnel costs driven by an increase in headcount, mainly attributable to acquisitions, and restructuring costs incurred in connection with the Restructuring Plan, as well as compensation increases, inclusive of a $1.9 million decrease in stock-based compensation expense. There was also a favorable prior year payroll tax adjustment in the amount of $0.5 million from certain of our foreign subsidiaries that did not recur in the current year in personnel costs. The increase in sales and marketing expenses also included an increase of $4.7 million in allocated overhead, inclusive of a $3.9 million increase in amortization expenses for acquired intangible assets, a $3.0 million increase in marketing costs, and a $0.4 million increase in travel costs. The increase in sales and marketing expenses was partially offset by a decrease of $0.5 million in third-party professional services.</w:t>
      </w:r>
    </w:p>
    <w:p>
      <w:pPr>
        <w:spacing w:after="0" w:line="192"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Sales and marketing headcount increased by 18 from October 31, 2024 to October 31, 2025, primarily attributable to acquisitions and net of restructuring. We expect sales and marketing expenses will increase as a percentage of total revenues as we expand into credit unions in the U.S. and on the European continent.</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$3.5 million for the three months ended October 31, 2025 compared to the three months ended October 31, 2024, primarily attributable to a decrease of $2.7 million in personnel costs due to the headcount decrease in connection with the Restructuring Plan. The decrease in research and development also included a decrease of $1.0 million in third-party professional fees. The decrease in research and development was partially offset by an increase of $0.4 million in allocated overhead for internal investments in AI technology.</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$0.3 million for the nine months ended October 31, 2025 compared to the nine months ended October 31, 2024, primarily attributable to an increase of $1.4 million in allocated overhead primarily attributable to internal investments in AI technology. The increase also included a net increase of $0.6 million in personnel costs, comprised of $3.7 million in restructuring costs incurred in connection with the Restructuring Plan, offset by a $1.8 million decrease in stock-based compensation expense and $1.3 million due to headcount decrease in connection with the Restructuring Plan. The increase in research and development was partially offset by a decrease of $1.6 million in third-party professional fees.</w:t>
      </w:r>
    </w:p>
    <w:p>
      <w:pPr>
        <w:spacing w:after="0" w:line="183"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Research and development headcount decreased by 46 from October 31, 2024 to October 31, 2025, primarily attributable to the Restructuring Plan. We expect research and development expenses will decrease as a percentage of total revenues as we leverage our existing technology investments.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$3.8 million for the three months ended October 31, 2025 compared to the three months ended October 31, 2024, primarily attributable to a decrease of $3.3 million in third-party professional fees, mostly attributable to a decrease in acquisition related expenses and professional fees and a decrease of $0.4 million in personnel costs due to the headcount decrease in connection with the Restructuring Plan, inclusive of a $0.4 million increase in stock-based compensation expense.</w:t>
      </w:r>
    </w:p>
    <w:p>
      <w:pPr>
        <w:spacing w:after="0" w:line="180"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$0.4 million for the nine months ended October 31, 2025 compared to the nine months ended October 31, 2024, primarily attributable to an increase of $3.4 million in personnel costs, inclusive of $1.1 million in restructuring costs for severance incurred in connection with the Restructuring Plan and a $2.5 million increase in stock-based compensation expense. The increase in general and administrative expenses also included an increase of $2.3 million in restructuring costs for exit costs and asset write-offs associated with the Restructuring Plan, a $0.5 million increase in allocated overhead, and a $0.4 million increase in the fair value of contingent consideration. The increase in general and administrative spend was partially offset by a decrease of $6.2 million in third-party professional fees, mostly attributable to a decrease in acquisition related expenses and professional fees.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General and administrative headcount decreased by 15 from October 31, 2024 to October 31, 2025, primarily attributable to the Restructuring Plan. We expect general and administrative expenses will decrease as a percentage of total revenues as we leverage operational efficiencies from our existing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482</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339</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0.2 %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1,408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1,269</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0.3 %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(1,653)</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(4,335)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(4,965)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(13,229)</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432</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200</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(162)</w:t>
            </w:r>
          </w:p>
        </w:tc>
        <w:tc>
          <w:tcPr>
            <w:tcW w:w="94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17,014</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Interest income decreased $0.1 million for the three months ended October 31, 2025 compared to the three months ended October 31, 2024, primarily attributable to balance and rate fluctuations of our accounts earning interest. Interest expense increased $2.7 million for the three months ended October 31, 2025 compared to the three months ended October 31, 2024, primarily attributable to borrowings on our revolving credit facility. The decrease of $0.2 million in other income (expense), net for the three months ended October 31, 2025 compared to the three months ended October 31, 2024, was primarily attributable to remeasurement of intercompany loans and transactions that are denominated in currencies other than the underlying functional currency of the applicable entity.</w:t>
      </w:r>
    </w:p>
    <w:p>
      <w:pPr>
        <w:spacing w:after="0" w:line="187" w:lineRule="exact"/>
        <w:rPr>
          <w:sz w:val="20"/>
          <w:szCs w:val="20"/>
          <w:color w:val="auto"/>
        </w:rPr>
      </w:pPr>
    </w:p>
    <w:p>
      <w:pPr>
        <w:ind w:right="160" w:firstLine="891"/>
        <w:spacing w:after="0" w:line="256" w:lineRule="auto"/>
        <w:rPr>
          <w:sz w:val="20"/>
          <w:szCs w:val="20"/>
          <w:color w:val="auto"/>
        </w:rPr>
      </w:pPr>
      <w:r>
        <w:rPr>
          <w:rFonts w:ascii="Times New Roman" w:cs="Times New Roman" w:eastAsia="Times New Roman" w:hAnsi="Times New Roman"/>
          <w:sz w:val="18"/>
          <w:szCs w:val="18"/>
          <w:color w:val="auto"/>
        </w:rPr>
        <w:t>Interest income decreased $0.1 million for the nine months ended October 31, 2025 compared to the nine months ended October 31, 2024, primarily attributable to balance and rate fluctuations of our accounts earning interest. Interest expense increased $8.3 million for the nine months ended October 31, 2025 compared to the nine months ended October 31, 2024, primarily attributable to borrowings on our revolving credit facility. The increase of $17.2 million in other income (expense), net for the nine months ended October 31, 2025 compared to the nine months ended October 31, 2024, was primarily attributable to intercompany loans and transactions that are denominated in currencies other than the underlying functional currency of the applicable entity.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180" w:type="dxa"/>
            <w:vAlign w:val="bottom"/>
            <w:gridSpan w:val="5"/>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2,589</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(695)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Income tax provision was $2.6 million for the three months ended October 31, 2024, compared to a benefit of $0.7 million for the three months ended October 31, 2025, and resulted in an effective tax rate of (165.6)% and (8.7)%, respectively. Income tax provision was $1.4 million for the nine months ended October 31, 2024 compared to a provision of $5.0 million for the nine months ended October 31, 2025, and resulted in an effective tax rate of (8.4)% and 84.7%, respectively. The change in the effective tax rate for the nine months ended October 31, 2024 compared to the effective tax rate for the nine months ended October 31, 2025 was primarily due to changes in our valuation allowance and profitable foreign jurisdictions.</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several jurisdictions, including the U.S. It is determined by management when a valuation allowance should be recorded, utilizing significant judgment and the use of estimates. Through acquisitions, the Company recorded a net U.S. deferred tax liability mostly related to identifiable intangible assets. The deferred tax liability recognized provides additional positive evidence that a portion of the Company’s U.S. deferred tax assets are realizable. As a result, the Company reduced the historical valuation allowance in the U.S. by $2.0 million during the first quarter of the Company’s fiscal 2026. The Company increased the valuation allowance in the United Kingdom by $2.5 million due to limitations on the ability to utilize acquired deferred tax attributes as part of corporate reorganizations related to foreign acquisitions during the second quarter of the Company’s fiscal 2026.</w:t>
      </w:r>
    </w:p>
    <w:p>
      <w:pPr>
        <w:spacing w:after="0" w:line="18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On July 4, 2025, H.R. 1, the One Big Beautiful Bill Act was signed into law. This legislation includes several changes to federal tax law that generally allows for more favorable deductibility of certain business expenses beginning in the Company’s fiscal 2026, including the restoration of immediate expensing of domestic research and development expenditures, more favorable rules for determining limitations on deductions for interest expense, and reinstatement of accelerated fixed asset depreciation. These changes were reflected in the income tax provision during the second quarter of the Company's fiscal 2026 and did not result in material changes to the Company’s tax position. In addition, this could increase our operating cash flows in future periods through a reduction in cash remittances of U.S. federal and state income tax.</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260" w:firstLine="891"/>
        <w:spacing w:after="0" w:line="25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non-GAAP operating income as an additional financial metric that is not prepared in accordance with GAAP (non-GAAP). Our calculation of non-GAAP operating income is described below.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7" w:lineRule="exact"/>
        <w:rPr>
          <w:sz w:val="20"/>
          <w:szCs w:val="20"/>
          <w:color w:val="auto"/>
        </w:rPr>
      </w:pPr>
    </w:p>
    <w:p>
      <w:pPr>
        <w:ind w:right="280" w:firstLine="891"/>
        <w:spacing w:after="0" w:line="258"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w:t>
      </w:r>
    </w:p>
    <w:p>
      <w:pPr>
        <w:spacing w:after="0" w:line="179" w:lineRule="exact"/>
        <w:rPr>
          <w:sz w:val="20"/>
          <w:szCs w:val="20"/>
          <w:color w:val="auto"/>
        </w:rPr>
      </w:pPr>
    </w:p>
    <w:p>
      <w:pPr>
        <w:ind w:right="660" w:firstLine="8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Non-GAAP operating income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Non-GAAP operating income is defined as income (loss) from operations as reported in our unaudited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condensed consolidated statements of operations excluding the following items:</w:t>
      </w:r>
    </w:p>
    <w:p>
      <w:pPr>
        <w:spacing w:after="0" w:line="157"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nCino incurs amortization expense for purchased intangible assets in connection with certain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spacing w:after="0" w:line="183"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nCino excludes stock-based compensation expenses primarily because they are non-cash expenses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spacing w:after="0" w:line="182"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 Related Expenses. </w:t>
      </w:r>
      <w:r>
        <w:rPr>
          <w:rFonts w:ascii="Times New Roman" w:cs="Times New Roman" w:eastAsia="Times New Roman" w:hAnsi="Times New Roman"/>
          <w:sz w:val="18"/>
          <w:szCs w:val="18"/>
          <w:color w:val="auto"/>
        </w:rPr>
        <w:t>nCino excludes expenses related to acquisitions as they limit comparability of operating results with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Acquisition-related expenses, include but are not limited to, costs incurred from third-party professional services firms in connection with business combination, change in fair value of contingent consideration, and one-time integration activities. We believe these costs are non-recurring in nature and outside the ordinary course of business.</w:t>
      </w:r>
    </w:p>
    <w:p>
      <w:pPr>
        <w:spacing w:after="0" w:line="180" w:lineRule="exact"/>
        <w:rPr>
          <w:sz w:val="20"/>
          <w:szCs w:val="20"/>
          <w:color w:val="auto"/>
        </w:rPr>
      </w:pPr>
    </w:p>
    <w:p>
      <w:pPr>
        <w:ind w:right="8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Litigation Expenses</w:t>
      </w:r>
      <w:r>
        <w:rPr>
          <w:rFonts w:ascii="Times New Roman" w:cs="Times New Roman" w:eastAsia="Times New Roman" w:hAnsi="Times New Roman"/>
          <w:sz w:val="18"/>
          <w:szCs w:val="18"/>
          <w:color w:val="auto"/>
        </w:rPr>
        <w:t>. nCino excludes fees and expenses related to certain litigation expenses incurred from legal matters outside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our business as we believe their exclusion from non-GAAP operating expenses will facilitate a more meaningful explanation of operating results and comparisons with prior period results.</w:t>
      </w:r>
    </w:p>
    <w:p>
      <w:pPr>
        <w:spacing w:after="0" w:line="173" w:lineRule="exact"/>
        <w:rPr>
          <w:sz w:val="20"/>
          <w:szCs w:val="20"/>
          <w:color w:val="auto"/>
        </w:rPr>
      </w:pPr>
    </w:p>
    <w:p>
      <w:pPr>
        <w:ind w:right="82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nCino excludes costs incurred related to bespoke restructuring plans and other one-time costs, if any,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fundamentally different in strategic nature and frequency from ongoing initiatives. We believe excluding these costs facilitates a more consistent comparison of operating performance over time.</w:t>
      </w:r>
    </w:p>
    <w:p>
      <w:pPr>
        <w:spacing w:after="0" w:line="175"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GAAP income (loss) from operations, the most directly comparable financial measure, calculated and presented in accordance with GAAP: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6"/>
                <w:szCs w:val="16"/>
                <w:color w:val="auto"/>
              </w:rPr>
            </w:pPr>
          </w:p>
        </w:tc>
        <w:tc>
          <w:tcPr>
            <w:tcW w:w="266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income (loss) from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27,581</w:t>
            </w:r>
          </w:p>
        </w:tc>
        <w:tc>
          <w:tcPr>
            <w:tcW w:w="0" w:type="dxa"/>
            <w:vAlign w:val="bottom"/>
          </w:tcPr>
          <w:p>
            <w:pPr>
              <w:spacing w:after="0"/>
              <w:rPr>
                <w:sz w:val="1"/>
                <w:szCs w:val="1"/>
                <w:color w:val="auto"/>
              </w:rPr>
            </w:pPr>
          </w:p>
        </w:tc>
      </w:tr>
      <w:tr>
        <w:trPr>
          <w:trHeight w:val="229"/>
        </w:trPr>
        <w:tc>
          <w:tcPr>
            <w:tcW w:w="5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52,681</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29"/>
        </w:trPr>
        <w:tc>
          <w:tcPr>
            <w:tcW w:w="52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84,178</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93,792</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80" w:firstLine="8"/>
        <w:spacing w:after="0"/>
        <w:tabs>
          <w:tab w:leader="none" w:pos="181"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legal expenses related to a closed government antitrust investigation and related settled civil action and a dismissed shareholder derivative lawsuit.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As of October 31, 2025, we had $87.6 million in cash and cash equivalents and an accumulated deficit of $384.4 million. Our net losses have been driven by our investments in developing the nCino Platform and scaling our sales and marketing organization and finance and administrative functions to support our rapid growth.</w:t>
      </w:r>
    </w:p>
    <w:p>
      <w:pPr>
        <w:spacing w:after="0" w:line="176"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including our initial public offering in July 2020, operating cash flows, and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As of October 31, 2025, the Company had $203.5 million outstanding and no letters of credit issued under the credit facility, was in compliance with all covenants, and had borrowing availability of $46.5 million. During the nine months ended October 31, 2025, the Company had net borrowings of $37.5 million to fund the Sandbox Banking acquisition and repurchase shares of the Company’s common stock. As of October 31, 2025, the applicable interest rate was 6.16%. See Note 10 “Revolving Credit Facility” of the notes to our unaudited condensed consolidated financial statements included in Part I, Item I of this Quarterly Report on Form 10-Q for more information.</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capital requirements, and stock repurchases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In March 2025, our Board of Directors authorized the Stock Repurchase Program of up to $100.0 million of our outstanding common stock. As of October 31, 2025 we had completed the repurchase authorization under the Stock Repurchase Program. The volume, price, timing, and manner of repurchases were determined at the Company’s discretion, subject to general market conditions, as well as the Company’s management of capital, general business conditions, other investment opportunities regulatory requirements and other factors. During the nine months ended October 31, 2025, we repurchased 4.0 million shares of our outstanding common stock for $100.0 million, excluding transaction costs and excise tax associated with the repurchases. As of October 31, 2025, no amounts remain available for future repurchases under the Stock Repurchase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Program. See Note 8 “Stockholders’ Equity” of the notes to our unaudited condensed consolidated financial statements included in Part I, Item I of this Quarterly Report on Form 10-Q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part of our joint venture obligations, we made an additional cash capital contribution of $1.0 million to nCino K.K. during the third quarter of fiscal 2024. As of January 31, 2025 and October 31, 2025, the redeemable non-controlling interest was $8.3 million and $12.4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nine months ended October 31, 2024 and 2025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77,127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(53,619)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(59,815)</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The $77.1 million provided by operating activities in the nine months ended October 31, 2025 reflects our net income of $0.9 million, offset by $86.8 million in net non-cash charges and $10.6 million used in changes in working capital accounts. Non-cash charges primarily consisted of stock-based compensation, depreciation and amortization, amortization of costs capitalized to obtain revenue contracts, deferred income taxes, non-cash operating lease costs, loss on disposal of long-lived assets, change in fair value of contingent consideration, provision for bad debt, and amortization of debt issuance costs, partially offset by foreign currency gains related to remeasurement of intercompany loans and transactions and gains on investments. Cash used in working capital accounts was principally a function of a $46.1 million decrease in deferred revenue due to the timing of billings and revenue recognition, a $12.8 million decrease in accrued expenses and other liabilities primarily due to the payment of bonuses and commissions, an increase of $12.4 million of capitalized costs to obtain revenue contracts, which consisted primarily of sales commissions, a $3.1 million decrease in operating lease liabilities, and a $0.9 million decrease in accounts payable. The cash used in working capital accounts was partially offset by $63.1 million decrease in accounts receivable due to the timing of billings and collections from customers, and a $1.5 million decrease in prepaid expenses.</w:t>
      </w:r>
    </w:p>
    <w:p>
      <w:pPr>
        <w:spacing w:after="0" w:line="194"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The $65.2 million provided by operating activities in the nine months ended October 31, 2024 reflects our net loss of $17.5 million, offset by $88.7 million in non-cash charges and $6.0 million used in changes in working capital accounts. Non-cash charges primarily consisted of stock-based compensation, depreciation and amortization, amortization of costs capitalized to obtain revenue contracts, non-cash operating lease costs, partially offset by deferred income taxes and foreign currency gains related to intercompany loans and transactions. Cash generated by working capital accounts was principally a function of a $41.6 million decrease in deferred revenue, due to the timing of billings and revenue recognition, an increase of $13.2 million of capitalized costs to obtain revenue contracts, which consisted primarily of sales commissions, a $2.9 million decrease in operating lease liabilities, and a $0.1 million decrease in accrued expenses and other liabilities. The cash generated by working capital accounts was partially offset by a $50.2 million decrease in accounts receivable due to timing of billings and collections from customers, a $1.0 million increase in other long term liabilities, $0.7 million decrease in prepaid expenses and other assets, and a $0.1 million increase in accounts payable.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$53.6 million used in investing activities in the nine months ended October 31, 2025 was comprised of $50.3 million used for the acquisition of Sandbox, $7.0 million for the purchase of property and equipment and leasehold improvements to support the expansion of our business primarily for one of our international offices, partially offset by proceeds from the sale of an investment of $3.7 million. The $92.8 million used in investing activities in the nine months ended October 31, 2024 was comprised of $90.8 million used for the acquisition of DocFox and ILT, $1.5 million for the purchase of property and equipment and leasehold improvements to support the expansion of our business, and $0.5 million for an asset acquisition.</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18"/>
          <w:szCs w:val="18"/>
          <w:color w:val="auto"/>
        </w:rPr>
        <w:t>The $59.8 million used in financing activities in the nine months ended October 31, 2025 was comprised principally of repurchases of our common stock of $100.1 million, payments of $65.0 million on our credit facility, and principal payments of $1.2 million on financing obligations. The cash used in financing activities was offset by $102.5 million proceeds from borrowings on our credit facility to fund the acquisition of Sandbox Banking and to make repurchases of our common stock under the stock repurchase program, $2.4 million of proceeds from stock issuances under the employee stock purchase plan, and $1.6 million of proceeds from the exercise of stock options. The $168.4 million provided by financing activities in the nine months ended October 31, 2024 was comprised principally of payments of $241.0 million of borrowings on the 2022 and 2024 Credit Facility to fund the acquisition of DocFox and FullCircl, $2.5 million of proceeds from stock issuances under the employee stock purchase plan, and $2.2 million of proceeds from the exercise of stock options. The cash provided by financing activities was partially offset by payments of $75.0 million on the 2022 credit facility, payments of debt issuance costs of $1.4 million, and principal payments of $0.9 million on financing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acquisition liabilities, and the Credit Facility. See Note 6 “Business Combinations,” Note 9 “Leases,” Note 10 “Revolving Credit Facility,” and Note 11 “Commitments and Contingencies” of the notes to our unaudited condensed consolidated financial statements included in Part I, Item 1 of this Quarterly Report on Form 10-Q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7"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2025 filed with the SEC on April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60" w:firstLine="891"/>
        <w:spacing w:after="0" w:line="266" w:lineRule="auto"/>
        <w:rPr>
          <w:sz w:val="20"/>
          <w:szCs w:val="20"/>
          <w:color w:val="auto"/>
        </w:rPr>
      </w:pPr>
      <w:r>
        <w:rPr>
          <w:rFonts w:ascii="Times New Roman" w:cs="Times New Roman" w:eastAsia="Times New Roman" w:hAnsi="Times New Roman"/>
          <w:sz w:val="18"/>
          <w:szCs w:val="18"/>
          <w:color w:val="auto"/>
        </w:rPr>
        <w:t>See Note 1 “Summary of Business and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0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At October 31, 2025, we had cash, cash equivalents and restricted cash of $87.9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2024 Credit Facility is a senior secured revolving credit facility of up to $250.0 million. Borrowings bear interest, at the Borrower’s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at: (i) a base rate equal to the greatest of (a) the Agent’s “prime rate,” (b) the federal funds rate plus 0.50%, and (c) the Term SOFR rate plus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base rate shall not be less than 0.00%), plus a margin of 1.00%; or (ii) the Term SOFR rate (provided that the Term SOFR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0.00%), plus a margin of 2.00%, in each case with such margin subject to step ups based on certain leverage ratios. As a result, we are exposed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interest rate risk as we make draws. At October 31, 2025, we had $203.5 million outstanding under the 2024 Credit Facility. A hypothetical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 change in interest rates would not have had a material impact on our financial results included in this Quarterly Report on Form 10-Q.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“Revolving Credit Facility” of the notes to our unaudited condensed consolidated financial statements included in Part I, Item 1 of this Quarterly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Form 10-Q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8"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At October 31, 2025, based on the balances of our cash, cash equivalents, and restricted cash denominated in foreign currencies, a hypothetical 10% increase or decrease in foreign currency exchange rates would have had an impact of approximately $4.8 million on our cash, cash equivalents and restricted cash at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October 31, 2025, the last day of the period covered by this Quarterly Report on Form 10-Q. Based on this evaluation, our Chief Executive Officer and Chief Financial Officer have concluded that, at October 31, 2025,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For information regarding legal proceedings, see Note 11 “Commitments and Contingencies” of the notes to our unaudited condensed consolidated financial statements included in Part I, Item 1 of this Quarterly Report on Form 10-Q,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2025 filed with the SEC on April 1, 2025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October 31, 2025 (in thousands, except share and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96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19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9"/>
                <w:szCs w:val="9"/>
                <w:b w:val="1"/>
                <w:bCs w:val="1"/>
                <w:color w:val="auto"/>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firstLine="8"/>
        <w:spacing w:after="0" w:line="287" w:lineRule="auto"/>
        <w:tabs>
          <w:tab w:leader="none" w:pos="165"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March 2025, our Board of Directors authorized, and on April 1, 2025, the Company publicly announced, a stock repurchase program of up to $100.0 million of our outstanding common stock. As of October 31, 2025, we had no shares remaining authorized for repurchase.</w:t>
      </w:r>
    </w:p>
    <w:p>
      <w:pPr>
        <w:spacing w:after="0" w:line="134"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average price per share excludes transaction costs and excise tax associated with the repurchases,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the following Section 16 officers adopted, modified, or terminated a “Rule 10b5-1 trading arrangement” as defined in Item 408 of Regulation S-K, as follows:</w:t>
      </w:r>
    </w:p>
    <w:p>
      <w:pPr>
        <w:spacing w:after="0" w:line="16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On September 4, 2025, Sean Desmond, President and Chief Executive Officer, adopted a Rule 10b5-1 trading arrangement providing for the sale from time to time of an aggregate of up to 218,269 shares of our common stock. The trading arrangement is intended to satisfy the affirmative defense in Rule 10b5-1(c). The duration of the trading arrangement is until December 31, 2026, or earlier if all transactions under the trading arrangement are completed.</w:t>
      </w:r>
    </w:p>
    <w:p>
      <w:pPr>
        <w:spacing w:after="0" w:line="180"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On September 16, 2025, Jeanette Sellers, SVP of Accounting and Controllership, terminated a Rule 10b5-1 trading arrangement providing for the sale from time to time of an aggregate of up to 9,968 shares of our common stock. The trading arrangement was intended to satisfy the affirmative defense in Rule 10b5-1(c). The duration of the trading arrangement was until May 29, 2026, or earlier if all transactions under the trading arrangement are completed.</w:t>
      </w:r>
    </w:p>
    <w:p>
      <w:pPr>
        <w:spacing w:after="0" w:line="180"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On September 16, 2025, Jeanette Sellers, SVP of Accounting and Controllership, adopted a Rule 10b5-1 trading arrangement providing for the sale from time to time of an aggregate of up to 12,988 shares of our common stock. The trading arrangement is intended to satisfy the affirmative defense in Rule 10b5-1(c). The duration of the trading arrangement is until August 14, 2026, or earlier if all transactions under the trading arrangement are completed.</w:t>
      </w:r>
    </w:p>
    <w:p>
      <w:pPr>
        <w:spacing w:after="0" w:line="180"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4280" w:type="dxa"/>
            <w:vAlign w:val="bottom"/>
            <w:gridSpan w:val="11"/>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80" w:type="dxa"/>
            <w:vAlign w:val="bottom"/>
            <w:tcBorders>
              <w:bottom w:val="single" w:sz="8" w:color="auto"/>
            </w:tcBorders>
            <w:gridSpan w:val="11"/>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1"/>
          </w:tcPr>
          <w:p>
            <w:pPr>
              <w:spacing w:after="0" w:line="188"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Third Amended and Restated Certificate of Incorporation</w:t>
              </w:r>
            </w:hyperlink>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20, 2025</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Amended and Restated Bylaws</w:t>
              </w:r>
            </w:hyperlink>
          </w:p>
        </w:tc>
        <w:tc>
          <w:tcPr>
            <w:tcW w:w="1880" w:type="dxa"/>
            <w:vAlign w:val="bottom"/>
            <w:tcBorders>
              <w:top w:val="single" w:sz="8" w:color="0000FF"/>
            </w:tcBorders>
            <w:gridSpan w:val="7"/>
          </w:tcPr>
          <w:p>
            <w:pPr>
              <w:spacing w:after="0"/>
              <w:rPr>
                <w:sz w:val="18"/>
                <w:szCs w:val="18"/>
                <w:color w:val="auto"/>
              </w:rPr>
            </w:pPr>
          </w:p>
        </w:tc>
        <w:tc>
          <w:tcPr>
            <w:tcW w:w="140" w:type="dxa"/>
            <w:vAlign w:val="bottom"/>
            <w:gridSpan w:val="3"/>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9"/>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1"/>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right="300" w:hanging="954"/>
        <w:spacing w:after="0" w:line="23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58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2025</w:t>
            </w:r>
          </w:p>
        </w:tc>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Desmond</w:t>
            </w:r>
          </w:p>
        </w:tc>
      </w:tr>
      <w:tr>
        <w:trPr>
          <w:trHeight w:val="218"/>
        </w:trPr>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Desmond</w:t>
            </w:r>
          </w:p>
        </w:tc>
      </w:tr>
      <w:tr>
        <w:trPr>
          <w:trHeight w:val="230"/>
        </w:trPr>
        <w:tc>
          <w:tcPr>
            <w:tcW w:w="36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 2025</w:t>
            </w:r>
          </w:p>
        </w:tc>
        <w:tc>
          <w:tcPr>
            <w:tcW w:w="3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6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6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4"/>
        </w:trPr>
        <w:tc>
          <w:tcPr>
            <w:tcW w:w="3640" w:type="dxa"/>
            <w:vAlign w:val="bottom"/>
          </w:tcPr>
          <w:p>
            <w:pPr>
              <w:spacing w:after="0"/>
              <w:rPr>
                <w:sz w:val="24"/>
                <w:szCs w:val="24"/>
                <w:color w:val="auto"/>
              </w:rPr>
            </w:pPr>
          </w:p>
        </w:tc>
        <w:tc>
          <w:tcPr>
            <w:tcW w:w="32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50</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Sean Desmond, certify that:</w:t>
      </w:r>
    </w:p>
    <w:p>
      <w:pPr>
        <w:spacing w:after="0" w:line="25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54" w:name="page55"/>
    <w:bookmarkEnd w:id="54"/>
    <w:p>
      <w:pPr>
        <w:ind w:left="652" w:hanging="652"/>
        <w:spacing w:after="0" w:line="261" w:lineRule="auto"/>
        <w:tabs>
          <w:tab w:leader="none" w:pos="65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752" w:val="left"/>
        </w:tabs>
        <w:rPr>
          <w:sz w:val="20"/>
          <w:szCs w:val="20"/>
          <w:color w:val="auto"/>
        </w:rPr>
      </w:pPr>
      <w:r>
        <w:rPr>
          <w:rFonts w:ascii="Times New Roman" w:cs="Times New Roman" w:eastAsia="Times New Roman" w:hAnsi="Times New Roman"/>
          <w:sz w:val="20"/>
          <w:szCs w:val="20"/>
          <w:color w:val="auto"/>
        </w:rPr>
        <w:t>Date: December 3,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40005</wp:posOffset>
            </wp:positionV>
            <wp:extent cx="3326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Sean Desmond</w:t>
      </w:r>
    </w:p>
    <w:p>
      <w:pPr>
        <w:spacing w:after="0" w:line="67"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152"/>
          </w:cols>
          <w:pgMar w:left="328" w:top="1413" w:right="4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56" w:name="page57"/>
    <w:bookmarkEnd w:id="56"/>
    <w:p>
      <w:pPr>
        <w:ind w:left="652" w:right="80" w:hanging="652"/>
        <w:spacing w:after="0" w:line="261" w:lineRule="auto"/>
        <w:tabs>
          <w:tab w:leader="none" w:pos="65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3, 2025</w:t>
            </w:r>
          </w:p>
        </w:tc>
        <w:tc>
          <w:tcPr>
            <w:tcW w:w="224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2025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3, 2025</w:t>
            </w:r>
          </w:p>
        </w:tc>
        <w:tc>
          <w:tcPr>
            <w:tcW w:w="2240" w:type="dxa"/>
            <w:vAlign w:val="bottom"/>
          </w:tcPr>
          <w:p>
            <w:pPr>
              <w:ind w:left="170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Sean Desmond</w:t>
            </w:r>
          </w:p>
        </w:tc>
      </w:tr>
      <w:tr>
        <w:trPr>
          <w:trHeight w:val="244"/>
        </w:trPr>
        <w:tc>
          <w:tcPr>
            <w:tcW w:w="36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Sean Desmond</w:t>
            </w:r>
          </w:p>
        </w:tc>
      </w:tr>
      <w:tr>
        <w:trPr>
          <w:trHeight w:val="258"/>
        </w:trPr>
        <w:tc>
          <w:tcPr>
            <w:tcW w:w="36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jc w:val="both"/>
        <w:ind w:right="2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October 31, 2025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3, 2025</w:t>
            </w:r>
          </w:p>
        </w:tc>
        <w:tc>
          <w:tcPr>
            <w:tcW w:w="2240" w:type="dxa"/>
            <w:vAlign w:val="bottom"/>
          </w:tcPr>
          <w:p>
            <w:pPr>
              <w:ind w:left="168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6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6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lvl w:ilvl="1">
      <w:lvlJc w:val="left"/>
      <w:lvlText w:val="(%2)"/>
      <w:numFmt w:val="lowerLetter"/>
      <w:start w:val="1"/>
    </w:lvl>
  </w:abstractNum>
  <w:abstractNum w:abstractNumId="17">
    <w:nsid w:val="62BBD95A"/>
    <w:multiLevelType w:val="hybridMultilevel"/>
    <w:lvl w:ilvl="0">
      <w:lvlJc w:val="left"/>
      <w:lvlText w:val="%1."/>
      <w:numFmt w:val="decimal"/>
      <w:start w:val="5"/>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5"/>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5" Type="http://schemas.openxmlformats.org/officeDocument/2006/relationships/hyperlink" Target="https://www.sec.gov/Archives/edgar/data/1902733/000119312525143670/d810798dex31.htm" TargetMode="External"/><Relationship Id="rId76" Type="http://schemas.openxmlformats.org/officeDocument/2006/relationships/hyperlink" Target="https://www.sec.gov/Archives/edgar/data/1902733/000190273322000031/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2025-12-03T16:33:39Z</dcterms:created>
  <dcterms:modified xsi:type="dcterms:W3CDTF">2025-12-03T16:33:39Z</dcterms:modified>
</cp:coreProperties>
</file>