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Desmond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8064</w:t>
            </w:r>
          </w:p>
        </w:tc>
        <w:tc>
          <w:tcPr>
            <w:tcW w:w="1377" w:type="dxa"/>
            <w:tcBorders/>
            <w:vAlign w:val="center"/>
          </w:tcPr>
          <w:p>
            <w:pPr>
              <w:pStyle w:val="TableContents"/>
              <w:bidi w:val="0"/>
              <w:spacing w:before="0" w:after="283"/>
              <w:jc w:val="left"/>
              <w:rPr/>
            </w:pPr>
            <w:r>
              <w:rPr/>
              <w:t>150716.16</w:t>
            </w:r>
          </w:p>
        </w:tc>
        <w:tc>
          <w:tcPr>
            <w:tcW w:w="1552" w:type="dxa"/>
            <w:tcBorders/>
            <w:vAlign w:val="center"/>
          </w:tcPr>
          <w:p>
            <w:pPr>
              <w:pStyle w:val="TableContents"/>
              <w:bidi w:val="0"/>
              <w:spacing w:before="0" w:after="283"/>
              <w:jc w:val="left"/>
              <w:rPr/>
            </w:pPr>
            <w:r>
              <w:rPr/>
              <w:t>105736174</w:t>
            </w:r>
          </w:p>
        </w:tc>
        <w:tc>
          <w:tcPr>
            <w:tcW w:w="1567" w:type="dxa"/>
            <w:tcBorders/>
            <w:vAlign w:val="center"/>
          </w:tcPr>
          <w:p>
            <w:pPr>
              <w:pStyle w:val="TableContents"/>
              <w:bidi w:val="0"/>
              <w:spacing w:before="0" w:after="283"/>
              <w:jc w:val="left"/>
              <w:rPr/>
            </w:pPr>
            <w:r>
              <w:rPr/>
              <w:t>10/05/2026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8064</w:t>
            </w:r>
          </w:p>
        </w:tc>
        <w:tc>
          <w:tcPr>
            <w:tcW w:w="1078" w:type="dxa"/>
            <w:tcBorders/>
            <w:vAlign w:val="center"/>
          </w:tcPr>
          <w:p>
            <w:pPr>
              <w:pStyle w:val="TableContents"/>
              <w:bidi w:val="0"/>
              <w:spacing w:before="0" w:after="283"/>
              <w:jc w:val="left"/>
              <w:rPr/>
            </w:pPr>
            <w:r>
              <w:rPr/>
              <w:t>10/05/2026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07/06/2026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140878.08</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08/04/2026</w:t>
            </w:r>
          </w:p>
        </w:tc>
        <w:tc>
          <w:tcPr>
            <w:tcW w:w="1556" w:type="dxa"/>
            <w:tcBorders/>
            <w:vAlign w:val="center"/>
          </w:tcPr>
          <w:p>
            <w:pPr>
              <w:pStyle w:val="TableContents"/>
              <w:bidi w:val="0"/>
              <w:spacing w:before="0" w:after="283"/>
              <w:jc w:val="left"/>
              <w:rPr/>
            </w:pPr>
            <w:r>
              <w:rPr/>
              <w:t>28675</w:t>
            </w:r>
          </w:p>
        </w:tc>
        <w:tc>
          <w:tcPr>
            <w:tcW w:w="1753" w:type="dxa"/>
            <w:tcBorders/>
            <w:vAlign w:val="center"/>
          </w:tcPr>
          <w:p>
            <w:pPr>
              <w:pStyle w:val="TableContents"/>
              <w:bidi w:val="0"/>
              <w:spacing w:before="0" w:after="283"/>
              <w:jc w:val="left"/>
              <w:rPr/>
            </w:pPr>
            <w:r>
              <w:rPr/>
              <w:t>551079.01</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08/05/2026</w:t>
            </w:r>
          </w:p>
        </w:tc>
        <w:tc>
          <w:tcPr>
            <w:tcW w:w="1556" w:type="dxa"/>
            <w:tcBorders/>
            <w:vAlign w:val="center"/>
          </w:tcPr>
          <w:p>
            <w:pPr>
              <w:pStyle w:val="TableContents"/>
              <w:bidi w:val="0"/>
              <w:spacing w:before="0" w:after="283"/>
              <w:jc w:val="left"/>
              <w:rPr/>
            </w:pPr>
            <w:r>
              <w:rPr/>
              <w:t>11815</w:t>
            </w:r>
          </w:p>
        </w:tc>
        <w:tc>
          <w:tcPr>
            <w:tcW w:w="1753" w:type="dxa"/>
            <w:tcBorders/>
            <w:vAlign w:val="center"/>
          </w:tcPr>
          <w:p>
            <w:pPr>
              <w:pStyle w:val="TableContents"/>
              <w:bidi w:val="0"/>
              <w:spacing w:before="0" w:after="283"/>
              <w:jc w:val="left"/>
              <w:rPr/>
            </w:pPr>
            <w:r>
              <w:rPr/>
              <w:t>230746.95</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09/03/2026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190794.24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10/05/2026</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Gary Redman, as a duly authorized representative of Fidelity Brokerage Services LLC, as attorney-in-fact for Sean Desmond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3441</Characters>
  <CharactersWithSpaces>4044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