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72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2940" w:type="dxa"/>
            <w:vAlign w:val="bottom"/>
          </w:tcPr>
          <w:p>
            <w:pPr>
              <w:spacing w:after="0"/>
              <w:rPr>
                <w:sz w:val="20"/>
                <w:szCs w:val="20"/>
                <w:color w:val="auto"/>
              </w:rPr>
            </w:pPr>
          </w:p>
        </w:tc>
      </w:tr>
      <w:tr>
        <w:trPr>
          <w:trHeight w:val="599"/>
        </w:trPr>
        <w:tc>
          <w:tcPr>
            <w:tcW w:w="3660" w:type="dxa"/>
            <w:vAlign w:val="bottom"/>
          </w:tcPr>
          <w:p>
            <w:pPr>
              <w:spacing w:after="0"/>
              <w:rPr>
                <w:sz w:val="24"/>
                <w:szCs w:val="24"/>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294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940" w:type="dxa"/>
            <w:vAlign w:val="bottom"/>
          </w:tcPr>
          <w:p>
            <w:pPr>
              <w:spacing w:after="0"/>
              <w:rPr>
                <w:sz w:val="16"/>
                <w:szCs w:val="16"/>
                <w:color w:val="auto"/>
              </w:rPr>
            </w:pPr>
          </w:p>
        </w:tc>
      </w:tr>
      <w:tr>
        <w:trPr>
          <w:trHeight w:val="247"/>
        </w:trPr>
        <w:tc>
          <w:tcPr>
            <w:tcW w:w="3660" w:type="dxa"/>
            <w:vAlign w:val="bottom"/>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40" w:type="dxa"/>
            <w:vAlign w:val="bottom"/>
          </w:tcPr>
          <w:p>
            <w:pPr>
              <w:spacing w:after="0"/>
              <w:rPr>
                <w:sz w:val="21"/>
                <w:szCs w:val="21"/>
                <w:color w:val="auto"/>
              </w:rPr>
            </w:pPr>
          </w:p>
        </w:tc>
        <w:tc>
          <w:tcPr>
            <w:tcW w:w="2940" w:type="dxa"/>
            <w:vAlign w:val="bottom"/>
          </w:tcPr>
          <w:p>
            <w:pPr>
              <w:jc w:val="center"/>
              <w:ind w:left="323"/>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4040" w:type="dxa"/>
            <w:vAlign w:val="bottom"/>
          </w:tcPr>
          <w:p>
            <w:pPr>
              <w:spacing w:after="0"/>
              <w:rPr>
                <w:sz w:val="14"/>
                <w:szCs w:val="14"/>
                <w:color w:val="auto"/>
              </w:rPr>
            </w:pPr>
          </w:p>
        </w:tc>
        <w:tc>
          <w:tcPr>
            <w:tcW w:w="2940" w:type="dxa"/>
            <w:vAlign w:val="bottom"/>
          </w:tcPr>
          <w:p>
            <w:pPr>
              <w:jc w:val="center"/>
              <w:ind w:left="303"/>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4040" w:type="dxa"/>
            <w:vAlign w:val="bottom"/>
          </w:tcPr>
          <w:p>
            <w:pPr>
              <w:spacing w:after="0"/>
              <w:rPr>
                <w:sz w:val="18"/>
                <w:szCs w:val="18"/>
                <w:color w:val="auto"/>
              </w:rPr>
            </w:pP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3660" w:type="dxa"/>
            <w:vAlign w:val="bottom"/>
          </w:tcPr>
          <w:p>
            <w:pPr>
              <w:spacing w:after="0"/>
              <w:rPr>
                <w:sz w:val="23"/>
                <w:szCs w:val="23"/>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2940" w:type="dxa"/>
            <w:vAlign w:val="bottom"/>
          </w:tcPr>
          <w:p>
            <w:pPr>
              <w:spacing w:after="0"/>
              <w:rPr>
                <w:sz w:val="23"/>
                <w:szCs w:val="23"/>
                <w:color w:val="auto"/>
              </w:rPr>
            </w:pPr>
          </w:p>
        </w:tc>
      </w:tr>
      <w:tr>
        <w:trPr>
          <w:trHeight w:val="180"/>
        </w:trPr>
        <w:tc>
          <w:tcPr>
            <w:tcW w:w="3660" w:type="dxa"/>
            <w:vAlign w:val="bottom"/>
          </w:tcPr>
          <w:p>
            <w:pPr>
              <w:spacing w:after="0"/>
              <w:rPr>
                <w:sz w:val="15"/>
                <w:szCs w:val="15"/>
                <w:color w:val="auto"/>
              </w:rPr>
            </w:pPr>
          </w:p>
        </w:tc>
        <w:tc>
          <w:tcPr>
            <w:tcW w:w="4040" w:type="dxa"/>
            <w:vAlign w:val="bottom"/>
          </w:tcPr>
          <w:p>
            <w:pPr>
              <w:jc w:val="center"/>
              <w:ind w:right="15"/>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2940" w:type="dxa"/>
            <w:vAlign w:val="bottom"/>
          </w:tcPr>
          <w:p>
            <w:pPr>
              <w:spacing w:after="0"/>
              <w:rPr>
                <w:sz w:val="15"/>
                <w:szCs w:val="15"/>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2940" w:type="dxa"/>
            <w:vAlign w:val="bottom"/>
          </w:tcPr>
          <w:p>
            <w:pPr>
              <w:spacing w:after="0"/>
              <w:rPr>
                <w:sz w:val="16"/>
                <w:szCs w:val="16"/>
                <w:color w:val="auto"/>
              </w:rPr>
            </w:pPr>
          </w:p>
        </w:tc>
      </w:tr>
      <w:tr>
        <w:trPr>
          <w:trHeight w:val="498"/>
        </w:trPr>
        <w:tc>
          <w:tcPr>
            <w:tcW w:w="3660" w:type="dxa"/>
            <w:vAlign w:val="bottom"/>
          </w:tcPr>
          <w:p>
            <w:pPr>
              <w:spacing w:after="0"/>
              <w:rPr>
                <w:sz w:val="24"/>
                <w:szCs w:val="24"/>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294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4"/>
                <w:szCs w:val="14"/>
                <w:i w:val="1"/>
                <w:i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telephone number, including area code)</w:t>
            </w:r>
          </w:p>
        </w:tc>
        <w:tc>
          <w:tcPr>
            <w:tcW w:w="2940" w:type="dxa"/>
            <w:vAlign w:val="bottom"/>
          </w:tcPr>
          <w:p>
            <w:pPr>
              <w:spacing w:after="0"/>
              <w:rPr>
                <w:sz w:val="16"/>
                <w:szCs w:val="16"/>
                <w:color w:val="auto"/>
              </w:rPr>
            </w:pPr>
          </w:p>
        </w:tc>
      </w:tr>
      <w:tr>
        <w:trPr>
          <w:trHeight w:val="48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56"/>
        </w:trPr>
        <w:tc>
          <w:tcPr>
            <w:tcW w:w="3660" w:type="dxa"/>
            <w:vAlign w:val="bottom"/>
          </w:tcPr>
          <w:p>
            <w:pPr>
              <w:jc w:val="center"/>
              <w:ind w:left="4"/>
              <w:spacing w:after="0"/>
              <w:rPr>
                <w:sz w:val="20"/>
                <w:szCs w:val="20"/>
                <w:color w:val="auto"/>
              </w:rPr>
            </w:pPr>
            <w:r>
              <w:rPr>
                <w:rFonts w:ascii="Times New Roman" w:cs="Times New Roman" w:eastAsia="Times New Roman" w:hAnsi="Times New Roman"/>
                <w:sz w:val="14"/>
                <w:szCs w:val="14"/>
                <w:color w:val="auto"/>
              </w:rPr>
              <w:t>Title of each class</w:t>
            </w:r>
          </w:p>
        </w:tc>
        <w:tc>
          <w:tcPr>
            <w:tcW w:w="404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Trading Symbol(s)</w:t>
            </w: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3"/>
        </w:trPr>
        <w:tc>
          <w:tcPr>
            <w:tcW w:w="36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Common stock, par value $0.0005 per share</w:t>
            </w:r>
          </w:p>
        </w:tc>
        <w:tc>
          <w:tcPr>
            <w:tcW w:w="4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NCNO</w:t>
            </w: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325"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4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ind w:right="100"/>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109,552,950 shares of common stock, net of treasury stock, $0.0005 par value per share, as of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10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300" w:type="dxa"/>
            <w:vAlign w:val="bottom"/>
            <w:gridSpan w:val="14"/>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62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2026 and April 30, 2026 (Unaudited)</w:t>
            </w:r>
          </w:p>
        </w:tc>
        <w:tc>
          <w:tcPr>
            <w:tcW w:w="264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April 30, 2025 and 2026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Three Months Ended April 30, 2025 and 2026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8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Months Ended April 30, 2025 and 2026</w:t>
            </w: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30, 2025 and 2026</w:t>
            </w:r>
          </w:p>
        </w:tc>
        <w:tc>
          <w:tcPr>
            <w:tcW w:w="116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00" w:type="dxa"/>
            <w:vAlign w:val="bottom"/>
            <w:gridSpan w:val="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200" w:type="dxa"/>
            <w:vAlign w:val="bottom"/>
            <w:gridSpan w:val="10"/>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12"/>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720" w:type="dxa"/>
            <w:vAlign w:val="bottom"/>
            <w:gridSpan w:val="8"/>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2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40" w:type="dxa"/>
            <w:vAlign w:val="bottom"/>
            <w:gridSpan w:val="1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800" w:type="dxa"/>
            <w:vAlign w:val="bottom"/>
            <w:gridSpan w:val="1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60" w:type="dxa"/>
            <w:vAlign w:val="bottom"/>
            <w:gridSpan w:val="2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026"/>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nCino,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(VIE: $3,421 and $8,498 at January 31, 2026 and April 30, 2026,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102,813</w:t>
            </w: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$2,825 and $2,739 at January 31, 2026 and April 30, 2026, respectively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124,742</w:t>
            </w: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267,427</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29,639</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1,076,098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126,215</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1,607,830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w:t>
            </w: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225,049</w:t>
            </w: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current portion, net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299,861</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253,007</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623,384</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6"/>
        </w:trPr>
        <w:tc>
          <w:tcPr>
            <w:tcW w:w="8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at January 31,</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2026 and April 30, 2026</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at January 31, 2026 and April 30, 2026;</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5"/>
        </w:trPr>
        <w:tc>
          <w:tcPr>
            <w:tcW w:w="856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w w:val="99"/>
              </w:rPr>
              <w:t>118,868,921 and 119,882,698 shares issued; 113,904,867 and 108,794,598 outstanding at January 31, 2026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April 30, 2026, respectively</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4,964,054 and 11,088,100 shares at January 31, 2026 and April 30, 2026, respectively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(219,255)</w:t>
            </w: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1,546,967</w:t>
            </w: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(361,429)</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970,359</w:t>
            </w: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 (Note 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 (Note 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attributable to nCino,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nCino,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114,781,654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108,502,547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116,578,848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109,458,472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comprehensive income attributable to redeemable non-controlling interest:</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redeemable non-controlling interest</w:t>
            </w:r>
          </w:p>
        </w:tc>
        <w:tc>
          <w:tcPr>
            <w:tcW w:w="8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nCino, Inc.</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r>
      <w:tr>
        <w:trPr>
          <w:trHeight w:val="21"/>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gridSpan w:val="1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2080" w:type="dxa"/>
            <w:vAlign w:val="bottom"/>
            <w:gridSpan w:val="8"/>
            <w:vMerge w:val="restart"/>
          </w:tcPr>
          <w:p>
            <w:pPr>
              <w:ind w:left="580"/>
              <w:spacing w:after="0"/>
              <w:rPr>
                <w:sz w:val="20"/>
                <w:szCs w:val="20"/>
                <w:color w:val="auto"/>
              </w:rPr>
            </w:pPr>
            <w:r>
              <w:rPr>
                <w:rFonts w:ascii="Times New Roman" w:cs="Times New Roman" w:eastAsia="Times New Roman" w:hAnsi="Times New Roman"/>
                <w:sz w:val="14"/>
                <w:szCs w:val="14"/>
                <w:color w:val="auto"/>
              </w:rPr>
              <w:t>Treasury Stock</w:t>
            </w:r>
          </w:p>
        </w:tc>
        <w:tc>
          <w:tcPr>
            <w:tcW w:w="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11"/>
                <w:szCs w:val="11"/>
                <w:color w:val="auto"/>
              </w:rPr>
            </w:pPr>
          </w:p>
        </w:tc>
        <w:tc>
          <w:tcPr>
            <w:tcW w:w="10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vMerge w:val="restart"/>
          </w:tcPr>
          <w:p>
            <w:pPr>
              <w:spacing w:after="0"/>
              <w:rPr>
                <w:sz w:val="2"/>
                <w:szCs w:val="2"/>
                <w:color w:val="auto"/>
              </w:rPr>
            </w:pPr>
          </w:p>
        </w:tc>
        <w:tc>
          <w:tcPr>
            <w:tcW w:w="10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vMerge w:val="restart"/>
          </w:tcPr>
          <w:p>
            <w:pPr>
              <w:spacing w:after="0"/>
              <w:rPr>
                <w:sz w:val="2"/>
                <w:szCs w:val="2"/>
                <w:color w:val="auto"/>
              </w:rPr>
            </w:pPr>
          </w:p>
        </w:tc>
        <w:tc>
          <w:tcPr>
            <w:tcW w:w="10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8"/>
                <w:szCs w:val="8"/>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9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115,996,852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$ 1,474,413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1,089,312</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 under</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repurchase program</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attributable to nCino,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Inc., including adjustment to</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8"/>
                <w:szCs w:val="18"/>
                <w:color w:val="auto"/>
              </w:rPr>
              <w:t>redeemable non-controlling</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30, 2025</w:t>
            </w: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117,069,731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$ 1,490,590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(379,394)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1,072,218</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gridSpan w:val="1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April 30, 2026</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0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2080" w:type="dxa"/>
            <w:vAlign w:val="bottom"/>
            <w:gridSpan w:val="8"/>
            <w:vMerge w:val="restart"/>
          </w:tcPr>
          <w:p>
            <w:pPr>
              <w:ind w:left="580"/>
              <w:spacing w:after="0"/>
              <w:rPr>
                <w:sz w:val="20"/>
                <w:szCs w:val="20"/>
                <w:color w:val="auto"/>
              </w:rPr>
            </w:pPr>
            <w:r>
              <w:rPr>
                <w:rFonts w:ascii="Times New Roman" w:cs="Times New Roman" w:eastAsia="Times New Roman" w:hAnsi="Times New Roman"/>
                <w:sz w:val="14"/>
                <w:szCs w:val="14"/>
                <w:color w:val="auto"/>
              </w:rPr>
              <w:t>Treasury Stock</w:t>
            </w:r>
          </w:p>
        </w:tc>
        <w:tc>
          <w:tcPr>
            <w:tcW w:w="20" w:type="dxa"/>
            <w:vAlign w:val="bottom"/>
          </w:tcPr>
          <w:p>
            <w:pPr>
              <w:spacing w:after="0"/>
              <w:rPr>
                <w:sz w:val="11"/>
                <w:szCs w:val="11"/>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11"/>
                <w:szCs w:val="11"/>
                <w:color w:val="auto"/>
              </w:rPr>
            </w:pP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2"/>
                <w:szCs w:val="2"/>
                <w:color w:val="auto"/>
              </w:rPr>
            </w:pPr>
          </w:p>
        </w:tc>
        <w:tc>
          <w:tcPr>
            <w:tcW w:w="104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2"/>
                <w:szCs w:val="2"/>
                <w:color w:val="auto"/>
              </w:rPr>
            </w:pPr>
          </w:p>
        </w:tc>
        <w:tc>
          <w:tcPr>
            <w:tcW w:w="10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8"/>
                <w:szCs w:val="8"/>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9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2026</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118,868,921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$ 1,550,187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1,055,915</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 under</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repurchase programs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6,124,046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(110,548)</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attributable to nCino,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Inc., including adjustment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30, 2026</w:t>
            </w: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119,882,698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11,088,100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(219,255)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$ 1,546,967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(361,429)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970,359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5" w:lineRule="exact"/>
        <w:rPr>
          <w:sz w:val="20"/>
          <w:szCs w:val="20"/>
          <w:color w:val="auto"/>
        </w:rPr>
      </w:pPr>
    </w:p>
    <w:p>
      <w:pPr>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2026</w:t>
      </w:r>
    </w:p>
    <w:p>
      <w:pPr>
        <w:sectPr>
          <w:pgSz w:w="11900" w:h="16838" w:orient="portrait"/>
          <w:cols w:equalWidth="0" w:num="1">
            <w:col w:w="11240"/>
          </w:cols>
          <w:pgMar w:left="320" w:top="2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income attributable to nCino, Inc.</w:t>
      </w:r>
    </w:p>
    <w:p>
      <w:pPr>
        <w:spacing w:after="0" w:line="46" w:lineRule="exact"/>
        <w:rPr>
          <w:sz w:val="20"/>
          <w:szCs w:val="20"/>
          <w:color w:val="auto"/>
        </w:rPr>
      </w:pPr>
    </w:p>
    <w:p>
      <w:pPr>
        <w:ind w:left="360" w:right="2280"/>
        <w:spacing w:after="0" w:line="299" w:lineRule="auto"/>
        <w:rPr>
          <w:sz w:val="20"/>
          <w:szCs w:val="20"/>
          <w:color w:val="auto"/>
        </w:rPr>
      </w:pPr>
      <w:r>
        <w:rPr>
          <w:rFonts w:ascii="Times New Roman" w:cs="Times New Roman" w:eastAsia="Times New Roman" w:hAnsi="Times New Roman"/>
          <w:sz w:val="16"/>
          <w:szCs w:val="16"/>
          <w:color w:val="auto"/>
        </w:rPr>
        <w:t>Net income and adjustment attributable to redeemable non-controlling interest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Provision for (recovery of) bad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Net foreign currency losses (gains)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Gains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Other long term liabilities</w:t>
      </w:r>
    </w:p>
    <w:p>
      <w:pPr>
        <w:spacing w:after="0" w:line="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Sale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Repurchases of common stock</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term loan,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 of contingent consideration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r>
      <w:tr>
        <w:trPr>
          <w:trHeight w:val="21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20"/>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w:t>
            </w:r>
          </w:p>
        </w:tc>
      </w:tr>
      <w:tr>
        <w:trPr>
          <w:trHeight w:val="43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10,083</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81,405</w:t>
            </w:r>
          </w:p>
        </w:tc>
      </w:tr>
      <w:tr>
        <w:trPr>
          <w:trHeight w:val="463"/>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bl>
    <w:p>
      <w:pPr>
        <w:spacing w:after="0" w:line="256" w:lineRule="exact"/>
        <w:rPr>
          <w:sz w:val="20"/>
          <w:szCs w:val="20"/>
          <w:color w:val="auto"/>
        </w:rPr>
      </w:pPr>
    </w:p>
    <w:p>
      <w:pPr>
        <w:ind w:left="780"/>
        <w:spacing w:after="0"/>
        <w:tabs>
          <w:tab w:leader="none" w:pos="2140" w:val="left"/>
        </w:tabs>
        <w:rPr>
          <w:sz w:val="20"/>
          <w:szCs w:val="20"/>
          <w:color w:val="auto"/>
        </w:rPr>
      </w:pPr>
      <w:r>
        <w:rPr>
          <w:rFonts w:ascii="Times New Roman" w:cs="Times New Roman" w:eastAsia="Times New Roman" w:hAnsi="Times New Roman"/>
          <w:sz w:val="16"/>
          <w:szCs w:val="16"/>
          <w:color w:val="auto"/>
        </w:rPr>
        <w:t>(40,588)</w:t>
      </w:r>
      <w:r>
        <w:rPr>
          <w:sz w:val="20"/>
          <w:szCs w:val="20"/>
          <w:color w:val="auto"/>
        </w:rPr>
        <w:tab/>
      </w:r>
      <w:r>
        <w:rPr>
          <w:rFonts w:ascii="Times New Roman" w:cs="Times New Roman" w:eastAsia="Times New Roman" w:hAnsi="Times New Roman"/>
          <w:sz w:val="16"/>
          <w:szCs w:val="16"/>
          <w:color w:val="auto"/>
        </w:rPr>
        <w:t>(110,083)</w:t>
      </w:r>
    </w:p>
    <w:p>
      <w:pPr>
        <w:spacing w:after="0" w:line="59" w:lineRule="exact"/>
        <w:rPr>
          <w:sz w:val="20"/>
          <w:szCs w:val="20"/>
          <w:color w:val="auto"/>
        </w:rPr>
      </w:pPr>
    </w:p>
    <w:p>
      <w:pPr>
        <w:ind w:left="760"/>
        <w:spacing w:after="0"/>
        <w:tabs>
          <w:tab w:leader="none" w:pos="2580" w:val="left"/>
        </w:tabs>
        <w:rPr>
          <w:sz w:val="20"/>
          <w:szCs w:val="20"/>
          <w:color w:val="auto"/>
        </w:rPr>
      </w:pPr>
      <w:r>
        <w:rPr>
          <w:rFonts w:ascii="Times New Roman" w:cs="Times New Roman" w:eastAsia="Times New Roman" w:hAnsi="Times New Roman"/>
          <w:sz w:val="16"/>
          <w:szCs w:val="16"/>
          <w:color w:val="auto"/>
        </w:rPr>
        <w:t>102,500</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780"/>
        <w:spacing w:after="0"/>
        <w:tabs>
          <w:tab w:leader="none" w:pos="2140" w:val="left"/>
        </w:tabs>
        <w:rPr>
          <w:sz w:val="20"/>
          <w:szCs w:val="20"/>
          <w:color w:val="auto"/>
        </w:rPr>
      </w:pPr>
      <w:r>
        <w:rPr>
          <w:rFonts w:ascii="Times New Roman" w:cs="Times New Roman" w:eastAsia="Times New Roman" w:hAnsi="Times New Roman"/>
          <w:sz w:val="16"/>
          <w:szCs w:val="16"/>
          <w:color w:val="auto"/>
        </w:rPr>
        <w:t>(60,000)</w:t>
      </w:r>
      <w:r>
        <w:rPr>
          <w:sz w:val="20"/>
          <w:szCs w:val="20"/>
          <w:color w:val="auto"/>
        </w:rPr>
        <w:tab/>
      </w:r>
      <w:r>
        <w:rPr>
          <w:rFonts w:ascii="Times New Roman" w:cs="Times New Roman" w:eastAsia="Times New Roman" w:hAnsi="Times New Roman"/>
          <w:sz w:val="16"/>
          <w:szCs w:val="16"/>
          <w:color w:val="auto"/>
        </w:rPr>
        <w:t>(150,000)</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—199,346</w:t>
      </w:r>
    </w:p>
    <w:p>
      <w:pPr>
        <w:spacing w:after="0" w:line="59" w:lineRule="exact"/>
        <w:rPr>
          <w:sz w:val="20"/>
          <w:szCs w:val="20"/>
          <w:color w:val="auto"/>
        </w:rPr>
      </w:pPr>
    </w:p>
    <w:p>
      <w:pPr>
        <w:ind w:left="1060"/>
        <w:spacing w:after="0"/>
        <w:tabs>
          <w:tab w:leader="none" w:pos="2480" w:val="left"/>
        </w:tabs>
        <w:rPr>
          <w:sz w:val="20"/>
          <w:szCs w:val="20"/>
          <w:color w:val="auto"/>
        </w:rPr>
      </w:pPr>
      <w:r>
        <w:rPr>
          <w:rFonts w:ascii="Times New Roman" w:cs="Times New Roman" w:eastAsia="Times New Roman" w:hAnsi="Times New Roman"/>
          <w:sz w:val="16"/>
          <w:szCs w:val="16"/>
          <w:color w:val="auto"/>
        </w:rPr>
        <w:t>748</w:t>
      </w:r>
      <w:r>
        <w:rPr>
          <w:sz w:val="20"/>
          <w:szCs w:val="20"/>
          <w:color w:val="auto"/>
        </w:rPr>
        <w:tab/>
      </w:r>
      <w:r>
        <w:rPr>
          <w:rFonts w:ascii="Times New Roman" w:cs="Times New Roman" w:eastAsia="Times New Roman" w:hAnsi="Times New Roman"/>
          <w:sz w:val="16"/>
          <w:szCs w:val="16"/>
          <w:color w:val="auto"/>
        </w:rPr>
        <w:t>473</w:t>
      </w:r>
    </w:p>
    <w:p>
      <w:pPr>
        <w:spacing w:after="0" w:line="59" w:lineRule="exact"/>
        <w:rPr>
          <w:sz w:val="20"/>
          <w:szCs w:val="20"/>
          <w:color w:val="auto"/>
        </w:rPr>
      </w:pPr>
    </w:p>
    <w:p>
      <w:pPr>
        <w:ind w:left="2440" w:hanging="1456"/>
        <w:spacing w:after="0"/>
        <w:tabs>
          <w:tab w:leader="none" w:pos="2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(321)</w:t>
      </w:r>
    </w:p>
    <w:p>
      <w:pPr>
        <w:spacing w:after="0" w:line="59"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—(5,300)</w:t>
      </w:r>
    </w:p>
    <w:p>
      <w:pPr>
        <w:spacing w:after="0" w:line="26" w:lineRule="exact"/>
        <w:rPr>
          <w:sz w:val="20"/>
          <w:szCs w:val="20"/>
          <w:color w:val="auto"/>
        </w:rPr>
      </w:pPr>
    </w:p>
    <w:p>
      <w:pPr>
        <w:sectPr>
          <w:pgSz w:w="11900" w:h="16838" w:orient="portrait"/>
          <w:cols w:equalWidth="0" w:num="2">
            <w:col w:w="7700" w:space="720"/>
            <w:col w:w="28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(65,885)</w:t>
            </w:r>
          </w:p>
        </w:tc>
      </w:tr>
      <w:tr>
        <w:trPr>
          <w:trHeight w:val="22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14,447</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88,685</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103,132</w:t>
            </w:r>
          </w:p>
        </w:tc>
      </w:tr>
      <w:tr>
        <w:trPr>
          <w:trHeight w:val="21"/>
        </w:trPr>
        <w:tc>
          <w:tcPr>
            <w:tcW w:w="8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102,813</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2"/>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 accrued expenses and other current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Measurement period adjustments relating to business acquisitions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Noncash consideration in connection with business acquisition for settlement of a preexisting contract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Business and Significant Accounting Policies</w:t>
      </w:r>
    </w:p>
    <w:p>
      <w:pPr>
        <w:spacing w:after="0" w:line="225" w:lineRule="exact"/>
        <w:rPr>
          <w:sz w:val="20"/>
          <w:szCs w:val="20"/>
          <w:color w:val="auto"/>
        </w:rPr>
      </w:pPr>
    </w:p>
    <w:p>
      <w:pPr>
        <w:ind w:right="20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together with its subsidiaries (collectively “the Company”), is a cloud banking company that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solutions to financial institutions (“FI”) to streamline employee and client interactions. The Company is headquartered in Wilmington, North Carolina and has various locations in the U.S., North America, Europe, Asia Pacific and South Africa.</w:t>
      </w:r>
    </w:p>
    <w:p>
      <w:pPr>
        <w:spacing w:after="0" w:line="171" w:lineRule="exact"/>
        <w:rPr>
          <w:sz w:val="20"/>
          <w:szCs w:val="20"/>
          <w:color w:val="auto"/>
        </w:rPr>
      </w:pPr>
    </w:p>
    <w:p>
      <w:pPr>
        <w:ind w:right="2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 References to fiscal year 2027, for example, refer to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31, 2027.</w:t>
      </w:r>
    </w:p>
    <w:p>
      <w:pPr>
        <w:spacing w:after="0" w:line="15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financial information presented in the accompanying unaudited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have been prepared in accordance with generally accepted accounting principles in the United States of America (“GAAP”) as set forth in the Financial Accounting Standards Board (“FASB”) Accounting Standards Codification (“ASC”) and in accordance with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2026, filed with the SEC on March 31, 2026. The unaudited condensed consolidated financial statements include accounts of the Company’s wholly-owned subsidiaries, as well as a variable interest entity (“VIE”) in which the Company is the primary beneficiary. All intercompany balances and transactions have been eliminated in consolidation.</w:t>
      </w:r>
    </w:p>
    <w:p>
      <w:pPr>
        <w:spacing w:after="0" w:line="192"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fiscal 2027 or any future period.</w:t>
      </w:r>
    </w:p>
    <w:p>
      <w:pPr>
        <w:spacing w:after="0" w:line="17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VIE. nCino K.K.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which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2 “Variable Interest Entity and Redeemable Non-Controlling Interest” for additional information regarding the Company’s variable interest.</w:t>
      </w:r>
    </w:p>
    <w:p>
      <w:pPr>
        <w:spacing w:after="0" w:line="18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fair value of contingent consideration;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2026 and April 30, 2026. The Company maintains its cash, cash equivalents, and restricted cash with high-credit-quality financial institutions.</w:t>
      </w:r>
    </w:p>
    <w:p>
      <w:pPr>
        <w:spacing w:after="0" w:line="180"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As of both January 31, 2026 and April 30, 2026, no individual customer represented more than 10% of accounts receivable. For the three months ended April 30, 2025 and 2026, no individual customer represented more than 10% of the Company’s total revenues.</w:t>
      </w:r>
    </w:p>
    <w:p>
      <w:pPr>
        <w:spacing w:after="0" w:line="158" w:lineRule="exact"/>
        <w:rPr>
          <w:sz w:val="20"/>
          <w:szCs w:val="20"/>
          <w:color w:val="auto"/>
        </w:rPr>
      </w:pPr>
    </w:p>
    <w:p>
      <w:pPr>
        <w:ind w:right="6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consists of deposits held as collateral for the Company’s bank guarantees issued in place of security 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property leases at January 31, 2026 and April 30, 2026. Restricted cash is included in prepaid expenses and other current assets and long-term prepaid expenses and other assets in the unaudited condensed consolidated balance sheets at January 31, 2026 and April 30, 2026.</w:t>
      </w:r>
    </w:p>
    <w:p>
      <w:pPr>
        <w:spacing w:after="0" w:line="171"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2,825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deferred revenue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2,739</w:t>
            </w: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6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Other income (expense), net on the Company’s unaudited condensed consolidated statements of operations. The Company assesses the investments whenever events or changes in circumstances indicate that the carrying value of the investments may not be recoverable.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functional currency of the Company’s foreign subsidiaries is generally the local currency. Adjustments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translating foreign functional currency financial statements into United States (“U.S.”) dollars are recorded as a separate component on the unaudited condensed consolidated statements of comprehensive income recorded in the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83"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due to transactions denominated in a currency other than the functional currency are included in Other income (expense), net in the unaudited condensed consolidated statements of operations and were $14.4 million and $(0.3) million for the three months ended April 30, 2025 and 2026, respectively, primarily related to remeasurement of various intercompany loans.</w:t>
      </w:r>
    </w:p>
    <w:p>
      <w:pPr>
        <w:spacing w:after="0" w:line="172"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In July 2025, the FASB issued ASU 2025-05, Financial Instruments - Credit Losses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326): Measurement of Credit Losses for Accounts Receivable and Contract Assets. The guidance includes amendments that provide a practical expedient for measuring credit losses on current accounts receivable and current contract assets under ASC 606 - Revenue from Contracts with Customers. The ASU is effective for annual periods beginning after December 15, 2025, and interim periods within those annual periods, on a prospective basis. The Company adopted the new guidance effective February 1, 2026 on a prospective basis and elected the practical expedient to estimate expected credit losses based on actual uncollected amounts. There was no material impact to the Company's consolidated financial statements as of the adoption date.</w:t>
      </w:r>
    </w:p>
    <w:p>
      <w:pPr>
        <w:spacing w:after="0" w:line="182" w:lineRule="exact"/>
        <w:rPr>
          <w:sz w:val="20"/>
          <w:szCs w:val="20"/>
          <w:color w:val="auto"/>
        </w:rPr>
      </w:pPr>
    </w:p>
    <w:p>
      <w:pPr>
        <w:ind w:right="8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November 2024, the FASB issued ASU 2024-03, Income Statement -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spacing w:after="0" w:line="187"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intends to improve the navigability of the required interim disclosures and clarify when it applies. The amendments also provide additional guidance on what disclosures should be provided in interim reporting periods. ASU 2025-11 does not intend to change the fundamental nature of interim reporting or expand or reduce current interim disclosure requirements. The ASU is effective for interim reporting periods within annual reporting periods beginning after December 15, 2027 with the option to apply the guidance prospectively or retrospectively.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Variable Interest Entity and Redeemable Non-Controlling Interest</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which is focused on the distribution of the Company’s products in Japan. In October 2019, the Company initially contributed $4.7 million in cash in exchange for 51% of the outstanding common stock of nCino K.K. In October 2023, the Company made a further investment in nCino K.K. of $1.0 million that, including additional investments in nCino K.K. of $1.0 million by existing third-party investors in October 2023, maintained the Company’s ownership of 51%. As of April 30, 2026, the Company controls a majority of the outstanding common stock in nCino K.K.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891"/>
        <w:spacing w:after="0" w:line="277"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 (excluding adjustment to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w:t>
            </w: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nCino K.K. stock options granted in accordance with nCino K.K.’s equity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that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2026 and April 30, 2026 because of the relatively short duration of these instruments.</w:t>
      </w:r>
    </w:p>
    <w:p>
      <w:pPr>
        <w:spacing w:after="0" w:line="162"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our term loan and any outstanding borrowings on the Company’s revolving credit facility approximates fair value due to the variable interest rates of the debt.</w:t>
      </w:r>
    </w:p>
    <w:p>
      <w:pPr>
        <w:spacing w:after="0" w:line="162"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2026 and April 30, 2026 and indicates the fair value hierarchy of the valuation: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31, 2026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prepaid expenses and other 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accrued expenses and other current liabilities)</w:t>
            </w:r>
          </w:p>
        </w:tc>
        <w:tc>
          <w:tcPr>
            <w:tcW w:w="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April</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prepaid expenses and other 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accrued expenses and other current liabilities)</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for identical assets.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contingent consideration with significant unobservable inputs: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in connection with business acquisition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contingent consideration consists of the potential earn-out payment related to the Company’s acquisition of Alphapack, Co. dba Sandbox Banking (“Sandbox Banking”) on February 7, 2025 and has a maximum potential payment of $10.0 million. The fair value of the contingent consideration was determined using a probability weighted discounted cash flow model. Changes in the fair value of the contingent consideration can result from changes in assumed discount periods and rates, and from changes pertaining to the estimated or actual achievement of the defined milestones. This contingent liability was classified as Level 3 within the fair value hierarchy. Changes in fair values of contingent consideration are recognized in general and administrative expenses on the Company’s unaudited condensed consolidated statements of operations. Payment for two of the three performance targets was made during the first quarter of fiscal 2027.</w:t>
      </w:r>
    </w:p>
    <w:p>
      <w:pPr>
        <w:spacing w:after="0" w:line="18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The unobservable inputs used in the valuation for the remaining performance target as of April 30, 2026 included an expected payment in the first half of fiscal 2027, a weighted average expected achievement percentage of 100.0%, and a discount rate of 6.7%.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three months ended April 30, 2025 and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200" w:firstLine="891"/>
        <w:spacing w:after="0" w:line="256"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Unrealized gains as a result of an observable price change were $0.5 million and $0.0 million for the three months ended April 30, 2025 and 2026, respectively. Cumulative unrealized gains were $0.7 million for investments accounted for under the measurement alternative as of April 30, 2026. There was no impairment recognized for the three months ended April 30, 2025 and 2026. Realized gains from the sale of an investment reflect the difference between the sales proceeds and the carrying value of the investment at the beginning of the period or the purchase date, if later. Realized gains were $1.2 million and $0.0 million for the three months ended April 30, 2025 and 2026,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Disaggregated revenues by source and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 - non-mortgage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89,963</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 - mortgage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159,414</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from the region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2026 and April 30, 2026: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4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4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three months ended April 30, 2026, $99.7 million of revenues were recognized out of the deferred revenue balance as of January 31, 2026.</w:t>
      </w:r>
    </w:p>
    <w:p>
      <w:pPr>
        <w:spacing w:after="0" w:line="180" w:lineRule="exact"/>
        <w:rPr>
          <w:sz w:val="20"/>
          <w:szCs w:val="20"/>
          <w:color w:val="auto"/>
        </w:rPr>
      </w:pPr>
    </w:p>
    <w:p>
      <w:pPr>
        <w:jc w:val="both"/>
        <w:ind w:right="50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$1.3 billion as of April 30, 2026. The Company expects to recognize approximately 67% of its remaining performance obligation as revenues in the next 24 months, approximately 28% more in the following 25 to 48 months, and the remainder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24"/>
                <w:szCs w:val="24"/>
                <w:color w:val="auto"/>
              </w:rPr>
            </w:pPr>
          </w:p>
        </w:tc>
        <w:tc>
          <w:tcPr>
            <w:tcW w:w="132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00" w:type="dxa"/>
            <w:vAlign w:val="bottom"/>
          </w:tcPr>
          <w:p>
            <w:pPr>
              <w:spacing w:after="0"/>
              <w:rPr>
                <w:sz w:val="13"/>
                <w:szCs w:val="13"/>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April 30,</w:t>
            </w: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consideration deferred payment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Sandbox Banking</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On February 7, 2025 (the “Sandbox Acquisition Date”), the Company acquired the outstanding equity interests of Sandbox Banking, a digital transformation leader serving the financial services industry. The Company acquired Sandbox Banking to strengthen the Company’s ability to enhance data connectivity. The Company has included the financial results of Sandbox Banking in the unaudited condensed consolidated statements of operations from the Sandbox Acquisition Date. Transaction costs associated with the Sandbox Banking acquisition were approximately $1.4 million and were recorded in general and administrative expenses on the Company's unaudited condensed consolidated statements of operations.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Sandbox Acquisition Date fair value of the consideration transferred is as follows:</w:t>
      </w:r>
    </w:p>
    <w:p>
      <w:pPr>
        <w:spacing w:after="0" w:line="4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(net of working capital adjustments)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consideration for settlement of preexisting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53" w:hanging="853"/>
        <w:spacing w:after="0"/>
        <w:tabs>
          <w:tab w:leader="none" w:pos="85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53,488</w:t>
      </w:r>
    </w:p>
    <w:p>
      <w:pPr>
        <w:spacing w:after="0" w:line="38"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1,354</w:t>
      </w:r>
    </w:p>
    <w:p>
      <w:pPr>
        <w:spacing w:after="0" w:line="34"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 w:lineRule="exact"/>
        <w:rPr>
          <w:sz w:val="20"/>
          <w:szCs w:val="20"/>
          <w:color w:val="auto"/>
        </w:rPr>
      </w:pPr>
    </w:p>
    <w:p>
      <w:pPr>
        <w:ind w:left="853" w:hanging="853"/>
        <w:spacing w:after="0"/>
        <w:tabs>
          <w:tab w:leader="none" w:pos="85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086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17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As of April 30, 2025, the cash consideration and working capital adjustments were finalized, resulting in final net cash consideration of $53.5 million after working capital adjustments of $0.5 million.</w:t>
      </w:r>
    </w:p>
    <w:p>
      <w:pPr>
        <w:spacing w:after="0" w:line="162"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The purchase price also includes $8.1 million of contingent consideration whereby the Company may be required to pay up to $10.0 million subject to the achievement of certain targets over 18 months, subject to revision. Three earn-outs are payable based on achieving a certain increase in annual contract value, establishing connectivity between defined systems for certain customers, and completing defined development work. See Note 3 “Fair Value Measurements” for additional information on the fair value of the contingent consideration.</w:t>
      </w:r>
    </w:p>
    <w:p>
      <w:pPr>
        <w:spacing w:after="0" w:line="180"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91,160 RSUs in May 2025 with an approximate fair value of $2.1 million to certain employees of Sandbox Banking,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Sandbox Acquisition Date. Any excess consideration over the fair value of the assets acquired and liabilities assumed was recognized as goodwill. The Company determined the acquisition date contract assets and liabilities in accordance with ASC 606.</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Sandbox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53,977</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year ended January 31, 2027, within the one year measurement period, we finalized the fair value of the assets acquired and liabilities assumed in the acquisition, and the amounts presented above are final. The Company recorded measurement period adjustments that included a $0.1 million adjustment to increase goodwill for a $0.1 million deferred income tax adjustment.</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Sandbox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Sandbox Banking’s technology, customer relationships represent the fair value of the underlying relationships with Sandbox Banking’s customers, and trade name represents the fair value of Sandbox Banking’s company name.</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deductible for tax purposes.</w:t>
      </w:r>
    </w:p>
    <w:p>
      <w:pPr>
        <w:spacing w:after="0" w:line="16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Sandbox Banking as they did not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2026</w:t>
            </w:r>
          </w:p>
        </w:tc>
        <w:tc>
          <w:tcPr>
            <w:tcW w:w="60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1,077,947</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5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30, 2026</w:t>
            </w:r>
          </w:p>
        </w:tc>
        <w:tc>
          <w:tcPr>
            <w:tcW w:w="56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1,076,098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60" w:type="dxa"/>
            <w:vAlign w:val="bottom"/>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1"/>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99,111</w:t>
            </w: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the Company wrote off approximately $2.5 million of fully amortized intangible assets and the corresponding accumulated amortization.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April 30, 2026 is as follows: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(remaining nine months)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“March 2025 Stock Repurchase Program”) which was completed in the third quarter of fiscal 2026. In December 2025, our Board of Directors authorized another stock repurchase program of $100.0 million of our outstanding common stock (the “December 2025 Stock Repurchase Program”).</w:t>
      </w:r>
    </w:p>
    <w:p>
      <w:pPr>
        <w:spacing w:after="0" w:line="176" w:lineRule="exact"/>
        <w:rPr>
          <w:sz w:val="20"/>
          <w:szCs w:val="20"/>
          <w:color w:val="auto"/>
        </w:rPr>
      </w:pPr>
    </w:p>
    <w:p>
      <w:pPr>
        <w:jc w:val="both"/>
        <w:ind w:right="320" w:firstLine="891"/>
        <w:spacing w:after="0" w:line="266" w:lineRule="auto"/>
        <w:rPr>
          <w:sz w:val="20"/>
          <w:szCs w:val="20"/>
          <w:color w:val="auto"/>
        </w:rPr>
      </w:pPr>
      <w:r>
        <w:rPr>
          <w:rFonts w:ascii="Times New Roman" w:cs="Times New Roman" w:eastAsia="Times New Roman" w:hAnsi="Times New Roman"/>
          <w:sz w:val="18"/>
          <w:szCs w:val="18"/>
          <w:color w:val="auto"/>
        </w:rPr>
        <w:t>The Company may make repurchases, from time to time, through open market purchases, block trades, in privately negotiated transactions, accelerated stock repurchase transaction, or by other means. Open market repurchases will be structured to occur in accordance with applicable federal securities laws. The Company may also, from time to time, enter into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programs do not obligate the Company to repurchase any specific amount of common stock, has no time limit, and may be modified, suspended, or discontinued at any time without notice at the discretion of our Board of Directors.</w:t>
      </w:r>
    </w:p>
    <w:p>
      <w:pPr>
        <w:spacing w:after="0" w:line="183"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On March 31, 2026, the Company entered into an Accelerated Share Repurchase (“ASR”) agreement with Wells Fargo Bank, N.A. authorized by our Board of Directors, for $100.0 million of our outstanding common stock (the “March 2026 Stock Repurchase Program”). Upon payment of the aggregate purchase price of $100.0 million, the Company received an initial delivery of 5,547,850 shares of its common stock at an initial price of $14.98 per share, representing approximately 80% of the aggregate purchase price. The Company funded the repurchase with available cash on hand and proceeds from its term loan. The March 2026 Stock Repurchase Program is accounted for as a treasury stock transaction and forward stock purchase agreement indexed to the Company's stock. The forward stock purchase agreement is classified as an equity instrument under ASC 815-40, Contracts in Entity's Own Equity (“ASC 815-40”) and deemed to have a fair value of zero at the effective date. Under the terms of the March 2026 Stock Repurchase Program, the ultimate number of shares of common stock that the Company will repurchase will be based on the average of the daily volume-weighted average price of the common stock during the term of the March 2026 Stock Repurchase Program, less a discount and subject to adjustments pursuant to the terms and conditions of the March 2026 Stock Repurchase Program. At final settlement, Wells Fargo Bank, N.A. may be required to deliver additional shares of common stock to the Company, or, under certain circumstances, the Company may be required to make a cash payment or deliver shares of common stock at its election to Wells Fargo Bank, N.A. The final settlement of the March 2026 Stock Repurchase Program is expected to occur in the second quarter of fiscal 2027.</w:t>
      </w:r>
    </w:p>
    <w:p>
      <w:pPr>
        <w:spacing w:after="0" w:line="187" w:lineRule="exact"/>
        <w:rPr>
          <w:sz w:val="20"/>
          <w:szCs w:val="20"/>
          <w:color w:val="auto"/>
        </w:rPr>
      </w:pPr>
    </w:p>
    <w:p>
      <w:pPr>
        <w:ind w:right="60" w:firstLine="891"/>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under the Company’s stock repurchase programs (in thousands, except share and per share data):</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6,124,046</w:t>
            </w:r>
          </w:p>
        </w:tc>
      </w:tr>
      <w:tr>
        <w:trPr>
          <w:trHeight w:val="229"/>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per share</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8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93,107</w:t>
            </w:r>
          </w:p>
        </w:tc>
      </w:tr>
    </w:tbl>
    <w:p>
      <w:pPr>
        <w:spacing w:after="0" w:line="27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transaction costs and excise tax associated with the repurchases.</w:t>
      </w:r>
    </w:p>
    <w:p>
      <w:pPr>
        <w:spacing w:after="0" w:line="198"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Repurchases under the December 2025 Stock Repurchase Program were made in open market transactions and the Company is authorized to repurchase $65.0 million of its common stock remaining available under the December 2025 Stock Repurchase Program as of April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three months ended April 30, 2026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5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2026</w:t>
            </w:r>
          </w:p>
        </w:tc>
        <w:tc>
          <w:tcPr>
            <w:tcW w:w="36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5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April 30, 2026</w:t>
            </w:r>
          </w:p>
        </w:tc>
        <w:tc>
          <w:tcPr>
            <w:tcW w:w="36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412,084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April 30, 2026</w:t>
            </w:r>
          </w:p>
        </w:tc>
        <w:tc>
          <w:tcPr>
            <w:tcW w:w="36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Fully vested or expected to vest, April 30, 2026</w:t>
            </w:r>
          </w:p>
        </w:tc>
        <w:tc>
          <w:tcPr>
            <w:tcW w:w="362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412,084</w:t>
            </w:r>
          </w:p>
        </w:tc>
        <w:tc>
          <w:tcPr>
            <w:tcW w:w="3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620" w:type="dxa"/>
            <w:vAlign w:val="bottom"/>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5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RSU activity during the three months ended April 30, 2026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April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5,579,203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2026, total unrecognized compensation expense related to non-vested RSUs was $115.9 million, adjusted for estimated forfeitures, based on the estimated fair value of the Company’s common stock at the time of grant. That cost is expected to be recognized over a weighted average period of 2.58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ESPP shares during the three months ended April 30, 2025 and 2026 was estimated at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based on assumptions as follows for ESPP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39.41%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3.58%</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9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46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7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76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76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52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non-cancelable agreements, which expire at various times through December 2034, some of which include options to extend for up to one year.</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2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92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1,231</w:t>
            </w:r>
          </w:p>
        </w:tc>
        <w:tc>
          <w:tcPr>
            <w:tcW w:w="0" w:type="dxa"/>
            <w:vAlign w:val="bottom"/>
          </w:tcPr>
          <w:p>
            <w:pPr>
              <w:spacing w:after="0"/>
              <w:rPr>
                <w:sz w:val="1"/>
                <w:szCs w:val="1"/>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9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April 30, 2026 were 6.95 years and 6.8%,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Future minimum lease payments as of April 30, 2026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(remaining nine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At April 30, 2026, the Company committed $1.2 million for a lease signed but not yet commenced. This lease, which is expected commence within the next twelve months, has a term of five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Credit Agreement</w:t>
      </w:r>
    </w:p>
    <w:p>
      <w:pPr>
        <w:spacing w:after="0" w:line="22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On October 28, 2024, the Company entered into a new Credit Agreement (the “2024 Credit Agreement”), by and among the Company, nCino OpCo, Inc. (the “Borrower”), certain subsidiaries of the Company as guarantors, the lenders party thereto (the “Lenders”) and Bank of America, N.A. as administrative agent (the “Agent”).</w:t>
      </w:r>
    </w:p>
    <w:p>
      <w:pPr>
        <w:spacing w:after="0" w:line="176" w:lineRule="exact"/>
        <w:rPr>
          <w:sz w:val="20"/>
          <w:szCs w:val="20"/>
          <w:color w:val="auto"/>
        </w:rPr>
      </w:pPr>
    </w:p>
    <w:p>
      <w:pPr>
        <w:ind w:right="460" w:firstLine="891"/>
        <w:spacing w:after="0" w:line="266" w:lineRule="auto"/>
        <w:rPr>
          <w:sz w:val="20"/>
          <w:szCs w:val="20"/>
          <w:color w:val="auto"/>
        </w:rPr>
      </w:pPr>
      <w:r>
        <w:rPr>
          <w:rFonts w:ascii="Times New Roman" w:cs="Times New Roman" w:eastAsia="Times New Roman" w:hAnsi="Times New Roman"/>
          <w:sz w:val="18"/>
          <w:szCs w:val="18"/>
          <w:color w:val="auto"/>
        </w:rPr>
        <w:t>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spacing w:after="0" w:line="176"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On March 30, 2026, the Company entered into an Incremental Facility Amendment (the “First Amendment”) to the 2024 Credit Agreement. Pursuant to the First Amendment, the Lenders are providing to nCino OpCo, Inc. (the “Borrower”) a senior secured incremental term loan of $200.0 million (the “Term Loan”), which matures on October 28, 2029. The Term Loan requires scheduled quarterly principal payments of $2.5 million, with the remaining balance due at maturity. The Term Loan may be voluntarily prepaid at any time without penalty; however, any repaid amounts may not be reborrowed. The Term Loan is subject to the same interest rate terms, guarantee structure, collateral provisions, and financial covenants as the 2024 Credit Facility, as described below.</w:t>
      </w:r>
    </w:p>
    <w:p>
      <w:pPr>
        <w:spacing w:after="0" w:line="187" w:lineRule="exact"/>
        <w:rPr>
          <w:sz w:val="20"/>
          <w:szCs w:val="20"/>
          <w:color w:val="auto"/>
        </w:rPr>
      </w:pPr>
    </w:p>
    <w:p>
      <w:pPr>
        <w:ind w:right="120" w:firstLine="891"/>
        <w:spacing w:after="0" w:line="276" w:lineRule="auto"/>
        <w:rPr>
          <w:sz w:val="20"/>
          <w:szCs w:val="20"/>
          <w:color w:val="auto"/>
        </w:rPr>
      </w:pPr>
      <w:r>
        <w:rPr>
          <w:rFonts w:ascii="Times New Roman" w:cs="Times New Roman" w:eastAsia="Times New Roman" w:hAnsi="Times New Roman"/>
          <w:sz w:val="17"/>
          <w:szCs w:val="17"/>
          <w:color w:val="auto"/>
        </w:rPr>
        <w:t>Borrowings under the 2024 Credit Facility and Term Loan bear interest, at the Borrower’s option, at: (i) a base rate equal to the greatest of (a) the Agent’s “prime rate,” (b) the federal funds rate plus 0.50%, and (c) the Term SOFR rate plus 1.00% (provided that the base rate shall not be less than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0.00%), plus a margin of 1.00%; or (ii) the Term SOFR rate (provided that the Term SOFR shall not be less than 0.00%), plus a margin of 2.00%, in each case with such margin subject to step-ups based on certain leverage ratios. The Company is also required to pay an unused commitment fee to the Lenders of 0.25% of the average daily unutilized commitments (with step-ups based on certain leverage ratios) for the 2024 Credit Facility. The Company must also pay customary letter of credit fees.</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at any time without penalty. Borrowings under the 2024 Credit Facility may be reborrowed.</w:t>
      </w:r>
    </w:p>
    <w:p>
      <w:pPr>
        <w:spacing w:after="0" w:line="225"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in each case, commencing with the fiscal quarter ended January 31, 2025.</w:t>
      </w:r>
    </w:p>
    <w:p>
      <w:pPr>
        <w:spacing w:after="0" w:line="180"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18"/>
          <w:szCs w:val="18"/>
          <w:color w:val="auto"/>
        </w:rPr>
        <w:t>The 2024 Credit Facility and Term Loan are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outstanding debt balances: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0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 April 30,</w:t>
            </w: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Debt issuance costs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current portion,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noncurrent,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253,007</w:t>
            </w: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262,810</w:t>
            </w: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20" w:firstLine="8"/>
        <w:spacing w:after="0" w:line="251" w:lineRule="auto"/>
        <w:tabs>
          <w:tab w:leader="none" w:pos="18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Debt issuance costs associated with the term loan facility are recorded net of the debt obligation, and debt issuance costs for the revolving credit facility are recorded in long-term prepaid expense and other assets. As of January 31, 2026 and April 30, 2026, unamortized debt issuance costs for the revolving credit facility were $1.1 million and $1.0 million, respectively, and are included in long-term prepaid expenses and other assets.</w:t>
      </w:r>
    </w:p>
    <w:p>
      <w:pPr>
        <w:spacing w:after="0" w:line="1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annual maturities of the principal amount of total debt due as of April 30, 2026: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Fiscal Year Ending</w:t>
            </w:r>
          </w:p>
        </w:tc>
        <w:tc>
          <w:tcPr>
            <w:tcW w:w="200" w:type="dxa"/>
            <w:vAlign w:val="bottom"/>
          </w:tcPr>
          <w:p>
            <w:pPr>
              <w:spacing w:after="0"/>
              <w:rPr>
                <w:sz w:val="13"/>
                <w:szCs w:val="13"/>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(remaining nine months)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263,500</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The Company had no letters of credit issued under the 2024 Credit Facility and was in compliance with all covenants as of January 31, 2026 and April 30, 2026. As of April 30, 2026, the applicable interest rate was 5.67%. The available borrowing capacity under the 2024 Credit Facility was $186.5 million as of April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9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leases will be analyzed for applicable lease accounting upon expiration of the purchase option, if not exercised.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April 30, 2026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95"/>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6"/>
                <w:szCs w:val="16"/>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228"/>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(remaining nine months)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April 30, 2026 was 6.8%.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 the opinion of management, however, there are no proceedings or claims pending against the Company that we believe are likely to have a material adverse effect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Basic and Diluted Net Income per Share</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nCino, Inc. by the weighted-average number of common shares outstanding for the fiscal period, net of treasury stock. Diluted net income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There is no difference between the basic and diluted net income (loss) per share when there is a net loss because inclusion of potentially issuable shares would be anti-dilutive.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for periods presented are as follows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nCino,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114,781,654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108,502,547</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per share attributable to nCino, Inc.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1"/>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10"/>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attributable to nCino,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114,781,654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108,502,547</w:t>
            </w:r>
          </w:p>
        </w:tc>
      </w:tr>
      <w:tr>
        <w:trPr>
          <w:trHeight w:val="229"/>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Effect of diluted stock options, unvested RSUs, and shares of common stock issuable under the ESPP</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955,925</w:t>
            </w: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116,578,848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109,458,472</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income per share attributable to nCino, Inc.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net income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2,408,572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4,459,940</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such, the Company has one operating and reportable segment. The CODM uses consolidated net income in deciding how to make operating decisions, allocate resources, and assess performance, including whether to reinvest profits into the segment or other parts of the entity, such as for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that is provided to our CODM:</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159,414</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26,884</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25,438</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w:t>
            </w: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firstLine="8"/>
        <w:spacing w:after="0" w:line="287"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 net in the consolidated statements of operations, adjusted to exclude amortization of intangible assets, stock-based compensation expense,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680" w:firstLine="8"/>
        <w:spacing w:after="0" w:line="287"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Sales and marketing expense, net in the consolidated statements of operations, adjusted to exclude amortization of intangible assets, stock-based compensation expense, transaction-related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20" w:firstLine="8"/>
        <w:spacing w:after="0" w:line="287"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Research and development expense, net in the consolidated statements of operations, adjusted to exclude stock-based compensation expense, transaction-related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firstLine="8"/>
        <w:spacing w:after="0" w:line="287"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General and administrative expense, net in the consolidated statements of operations, adjusted to exclude stock-based compensation expense, transaction-related expenses, certain litigation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220" w:firstLine="8"/>
        <w:spacing w:after="0" w:line="279"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Beginning in the first quarter of fiscal 2027, other (income) expense, net in the consolidated statements of operations, adjusted to not exclude intercompany foreign currency exchange gains or losses from the remeasurement of intercompany loans and transactions that are denominated in currencies other than the underlying functional currency of the applicable entity. Prior period amounts were recast to conform to the current presentation.</w:t>
      </w:r>
    </w:p>
    <w:p>
      <w:pPr>
        <w:spacing w:after="0" w:line="150"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are the adjustments described in the notes above.</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w:t>
            </w:r>
          </w:p>
        </w:tc>
      </w:tr>
      <w:tr>
        <w:trPr>
          <w:trHeight w:val="223"/>
        </w:trPr>
        <w:tc>
          <w:tcPr>
            <w:tcW w:w="8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159,414</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from the region of the customer. For the three months ended April 30, 2025 and 2026, only the United Kingdom, in addition to the United States, represented 10% or more of total revenues for the periods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Long-lived assets, which consist of property and equipment, net and operating lease right-of-use (“ROU”) assets, net by geographic region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00" w:type="dxa"/>
            <w:vAlign w:val="bottom"/>
          </w:tcPr>
          <w:p>
            <w:pPr>
              <w:spacing w:after="0"/>
              <w:rPr>
                <w:sz w:val="13"/>
                <w:szCs w:val="13"/>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April 30,</w:t>
            </w: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86,670</w:t>
            </w: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May 1, 2026, the Company granted 4,288,572 RSUs to the Company’s employees, including executive officers, as part of its ordinary course annual compensation process. The Company expects to recognize stock-based compensation expense of $77.8 million related to the RSUs over a weighted average period of 4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unaudited condensed consolidated financial statements and related notes and other financial information included in this Quarterly Report on Form 10-Q and our Annual Report on Form 10-K for the fiscal year ended January 31, 2026 filed with the SEC on March 31, 2026.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2027” refer to the fiscal year ended January 31, 2027.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As employees at financial institutions do their daily work and serve their clients, they often face inefficiencies from disparate systems, broken workflows, manual processes, and the inability to utilize their data effectively. This negatively impacts risk management, decision making, and the experiences of bankers and their clients. Financial Institutions (“FIs”) need a unified platform that helps them reengineer every experience, from managing complex credit portfolios to streamlining account onboarding and loan origination.</w:t>
      </w:r>
    </w:p>
    <w:p>
      <w:pPr>
        <w:spacing w:after="0" w:line="180"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nCino helps FIs of all sizes optimize their operations by embedding banking intelligence directly into the tools FI employees already use. nCino's data foundation, which was developed from the workflows, decisions, and outcomes of FIs, enables our platform to deliver AI-driven capabilities across our solutions. With the nCino Platform, FIs can:</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intelligently,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and client experiences,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continuously rather than reactively.</w:t>
      </w:r>
    </w:p>
    <w:p>
      <w:pPr>
        <w:spacing w:after="0" w:line="225"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nCino was originally founded in a bank to improve that institution’s operations and client service. Its founders quickly realized that virtually all banks and credit unions faced the same core problems—cumbersome legacy technology, fragmented data, disconnected business functions, and a disengaged workforce. nCino was spun out as a separate company in late 2011 to help more institutions solve these challenges using cloud-based technology.</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Asia-Pacific (“APAC”).</w:t>
      </w:r>
    </w:p>
    <w:p>
      <w:pPr>
        <w:spacing w:after="0" w:line="176"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Over the years, we've built and enhanced our products to ensure innovation and seamless integration across key solution lines of commercial, small business, and consumer banking, including mortgage. We have strategically built and acquired technology, including SimpleNexus, DocFox, FullCircl, ILT, Visible Equity, FinSuite, and Sandbox Banking, to significantly augment the capabilities of the nCino Platform for mortgage lending, onboarding, account opening, indirect auto lending, and advanced analytics and AI. This approach has allowed us to create a unified platform of best-in-class intelligent solutions, underpinned by our rich data foundation, enabling FIs to replace multiple legacy systems, connect their operations, and streamline workflows and processes across various business lines to achieve desired impacts and process improvements.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We generally offer the nCino Platform on a subscription basis pursuant to non-cancelable multi-year contracts that are typically three to five years in duration. nCino has evolved from a single product workflow solution to a platform of best-in-class, intelligent solutions. Our Intelligent Solution Framework pricing model helps ensure the value-based positioning and pricing of our products and creates an opportunity to embed intelligence into all our solutions.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4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April 30, 2026, we had 182 sales and sales support personnel in the U.S. and 125 sales and support personnel in offices outside the U.S.</w:t>
      </w:r>
    </w:p>
    <w:p>
      <w:pPr>
        <w:spacing w:after="0" w:line="158"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On March 30, 2026, the Company entered into an Incremental Facility Amendment (the “First Amendment”) to the 2024 Credit Agreement. Pursuant to the First Amendment, the Lenders provided to nCino OpCo, Inc. (the “Borrower”) a senior secured incremental term loan of $200.0 million (the “Term Loan”), which matures on October 28, 2029. The Term Loan requires scheduled quarterly principal payments of $2.5 million, with the remaining balance due at maturity. The Term Loan may be voluntarily prepaid at any time without penalty; however, any repaid amounts may not be reborrowed. The interest rate terms, guarantee structure, collateral provisions, and financial covenants applicable to the Term Loan are consistent with those governing the 2024 Credit Facility. The proceeds were used to reduce a portion of the outstanding balance on our revolving credit facility and to finance an accelerated share repurchase program discussed below. See Note 10 “Debt” of the notes to our unaudited condensed consolidated financial statements included in Part I, Item 1 of this Quarterly Report on Form 10-Q for additional information.</w:t>
      </w:r>
    </w:p>
    <w:p>
      <w:pPr>
        <w:spacing w:after="0" w:line="192"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On March 31, 2026, the Company entered into an Accelerated Share Repurchase (“ASR”) agreement with Wells Fargo Bank, N.A., authorized by the Board of Directors, for $100.0 million. The initial delivery of shares for the full purchase price of $100.0 million represented approximately 80% of the total shares to be repurchased. The final number of shares to be repurchased will be determined generally by the volume-weighted average price of nCino's common stock during the term of the transaction, less a discount and subject to adjustments. Final settlement is expected to occur in the second quarter of fiscal 2027. See Note 8 “Stockholders’ Equity and Stock-Based Compensation” of the notes to our unaudited condensed consolidated financial statements included in Part I, Item 1 of this Quarterly Report on Form 10-Q for more information.</w:t>
      </w:r>
    </w:p>
    <w:p>
      <w:pPr>
        <w:spacing w:after="0" w:line="18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2025 and 2026, our total revenues were $144.1 million and $159.4 million, respectively, representing a 10.6% increase. For the three months ended April 30, 2025 and 2026, our subscription revenues were $125.6 million and $140.9 million, respectively, representing a 12.2% increase. We recorded net income attributable to nCino, Inc. of $13.6 million for the three months ended April 30, 2026, compared to a net income attributable to nCino, Inc. of $5.6 million for the three months ended April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140"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asset-based pricing model, which we began implementing in fiscal 2025, and our success in implementing AI capabilities in ways that our customers perceive as adding value, will also be key drivers. In addition, growing our customer base will require us to increasingly penetrate markets outside the U.S., which accounted for 22.8% of total revenues for the three months ended April 30, 2026.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sustain profitability will be adversely affected, which may in turn reduce the value of our common stock.</w:t>
      </w:r>
    </w:p>
    <w:p>
      <w:pPr>
        <w:spacing w:after="0" w:line="182"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over time, revenues from established customers are more heavily weighted to subscriptions. While professional services revenues will fluctuate as a percentage of total revenues, we expect subscription revenues will continue to make up an increasing proportion of our total revenues.</w:t>
      </w:r>
    </w:p>
    <w:p>
      <w:pPr>
        <w:spacing w:after="0" w:line="158" w:lineRule="exact"/>
        <w:rPr>
          <w:sz w:val="20"/>
          <w:szCs w:val="20"/>
          <w:color w:val="auto"/>
        </w:rPr>
      </w:pPr>
    </w:p>
    <w:p>
      <w:pPr>
        <w:jc w:val="both"/>
        <w:ind w:right="64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fluctuating interest rate environment with inflationary pressures.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have had an impact on the real estate market in the U.S. and specifically, the demand for mortgages and mortgage-related products and services, which has had a negative impact on our U.S.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jc w:val="both"/>
        <w:ind w:right="100" w:firstLine="891"/>
        <w:spacing w:after="0" w:line="315" w:lineRule="auto"/>
        <w:rPr>
          <w:sz w:val="20"/>
          <w:szCs w:val="20"/>
          <w:color w:val="auto"/>
        </w:rPr>
      </w:pPr>
      <w:r>
        <w:rPr>
          <w:rFonts w:ascii="Times New Roman" w:cs="Times New Roman" w:eastAsia="Times New Roman" w:hAnsi="Times New Roman"/>
          <w:sz w:val="17"/>
          <w:szCs w:val="17"/>
          <w:i w:val="1"/>
          <w:iCs w:val="1"/>
          <w:color w:val="auto"/>
        </w:rPr>
        <w:t>Subscription Revenues</w:t>
      </w:r>
      <w:r>
        <w:rPr>
          <w:rFonts w:ascii="Times New Roman" w:cs="Times New Roman" w:eastAsia="Times New Roman" w:hAnsi="Times New Roman"/>
          <w:sz w:val="17"/>
          <w:szCs w:val="17"/>
          <w:color w:val="auto"/>
        </w:rPr>
        <w:t>. Our subscription revenues consist principally of fees from customers for accessing our solutions and maintenance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services that we generally offer under non-cancellable multi-year contracts, which are typically three to five years in length. Specifically, we offer:</w:t>
      </w:r>
    </w:p>
    <w:p>
      <w:pPr>
        <w:spacing w:after="0" w:line="137" w:lineRule="exact"/>
        <w:rPr>
          <w:sz w:val="20"/>
          <w:szCs w:val="20"/>
          <w:color w:val="auto"/>
        </w:rPr>
      </w:pPr>
    </w:p>
    <w:p>
      <w:pPr>
        <w:ind w:left="1300" w:right="60" w:hanging="320"/>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transitioning to our asset-based pricing model, we expect the number of customers we charge based on asset size will increase considerably.</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U.S. mortgage business, a digital homeownership solution uniting people, systems, and stages of the mortgage process into a seamless end-to-end journey for which we generally charge on a per seat or anticipated lending volume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typically activate all seats at inception of the agreement with stated price increases at specified intervals over the contract term. In these arrangements, the aggregate license fees over the contract term are recognized as revenue in equal amounts annually over the term. We may also activate a portion of seats at inception of the agreement, with the balance of seats activated at contractually specified points in time thereafter. Both approaches pattern the amount of our invoicing to customers after their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spacing w:after="0" w:line="190"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smaller credit unions, and our U.S. mortgage business.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based on the relative mix of revenues from our solutions, including the resale of Salesforce's CRM solution, and the utilization of support personnel. We expect the cost of subscription revenues will continue to increase in absolute dollars as we grow our business.</w:t>
      </w:r>
    </w:p>
    <w:p>
      <w:pPr>
        <w:spacing w:after="0" w:line="185"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 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220" w:firstLine="891"/>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consist primarily of personnel costs of our sales and marketing employees,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to five years. Sales and marketing expenses also include outside consulting fees, marketing programs, including lead generation, costs of our annual user conference, advertising, trade shows and other event expenses, amortization of intangible assets, and allocated overhead. We expect sales and marketing expenses to decrease as a percentage of revenues as we leverage investments made to date.</w:t>
      </w:r>
    </w:p>
    <w:p>
      <w:pPr>
        <w:spacing w:after="0" w:line="168"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changes in fair value of contingent consideration, and allocated overhead, as well as transaction-related expenses, such as legal and other professional services fees. We expect general and administrative expenses will decrease as a percentage of revenues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 Also included is interest expense accretion for a deferred payment on the acquisition of FullCircl.</w:t>
      </w:r>
    </w:p>
    <w:p>
      <w:pPr>
        <w:spacing w:after="0" w:line="173" w:lineRule="exact"/>
        <w:rPr>
          <w:sz w:val="20"/>
          <w:szCs w:val="20"/>
          <w:color w:val="auto"/>
        </w:rPr>
      </w:pPr>
    </w:p>
    <w:p>
      <w:pPr>
        <w:ind w:right="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remeasurement of intercompany loans that are denominated in currencies other than the underlying functional currency of the applicable entity.</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consists of federal and state income taxes in the U.S. and income taxes in foreign jurisdictions.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months ended April 30, 2025 and 2026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3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140,929</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0" w:type="dxa"/>
            <w:vAlign w:val="bottom"/>
          </w:tcPr>
          <w:p>
            <w:pPr>
              <w:spacing w:after="0"/>
              <w:rPr>
                <w:sz w:val="1"/>
                <w:szCs w:val="1"/>
                <w:color w:val="auto"/>
              </w:rPr>
            </w:pPr>
          </w:p>
        </w:tc>
      </w:tr>
      <w:tr>
        <w:trPr>
          <w:trHeight w:val="223"/>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79,819</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5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3"/>
        </w:trPr>
        <w:tc>
          <w:tcPr>
            <w:tcW w:w="5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w:t>
            </w:r>
          </w:p>
        </w:tc>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3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income attributable to nCino, Inc.</w:t>
            </w:r>
          </w:p>
        </w:tc>
        <w:tc>
          <w:tcPr>
            <w:tcW w:w="3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100.0</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116.3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9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9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April 30, 2025 and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6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159,414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Subscription revenues increased $15.3 million for the three months ended April 30, 2026 compared to the three months ended April 30, 2025, primarily attributable to initial revenues from customers who did not contribute to subscription revenues during the prior period, and growth from existing customers within and across lines of business. Of the increase, 72.6% was attributable to increased revenues from existing customers as customers expanded their use and adoption of our solutions, and 27.4% was attributable to initial revenues from customers who did not contribute to subscription revenues during the three months ended April 30, 2025. Subscription revenues were 88.4% of total revenues for the three months ended April 30, 2026 compared to 87.1% of total revenues for the three months ended April 30, 2025, primarily due to growth in our installed base.</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revenues were essentially flat for the three months ended April 30, 2026 compared to the three months ended April 30, 2025, primarily attributable to the mix of solutions being implemented.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22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3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Cost of subscription revenues increased $3.1 million for the three months ended April 30, 2026 compared to the three months ended April 30, 2025, generating a gross margin for subscription revenues of 71.2% and 72.2% for the three months ended April 30, 2025 and 2026,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increase primarily consisted of:</w:t>
      </w:r>
    </w:p>
    <w:p>
      <w:pPr>
        <w:spacing w:after="0" w:line="225" w:lineRule="exact"/>
        <w:rPr>
          <w:sz w:val="20"/>
          <w:szCs w:val="20"/>
          <w:color w:val="auto"/>
        </w:rPr>
      </w:pPr>
    </w:p>
    <w:p>
      <w:pPr>
        <w:ind w:left="1300" w:right="280" w:hanging="320"/>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costs related to Salesforce user fees as we continued to add new customers and sell additional functionality to existing customers,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third party data costs.</w:t>
      </w:r>
    </w:p>
    <w:p>
      <w:pPr>
        <w:spacing w:after="0" w:line="2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320" w:firstLine="891"/>
        <w:spacing w:after="0" w:line="266" w:lineRule="auto"/>
        <w:rPr>
          <w:sz w:val="20"/>
          <w:szCs w:val="20"/>
          <w:color w:val="auto"/>
        </w:rPr>
      </w:pPr>
      <w:r>
        <w:rPr>
          <w:rFonts w:ascii="Times New Roman" w:cs="Times New Roman" w:eastAsia="Times New Roman" w:hAnsi="Times New Roman"/>
          <w:sz w:val="18"/>
          <w:szCs w:val="18"/>
          <w:color w:val="auto"/>
        </w:rPr>
        <w:t>Cost of professional services and other revenues decreased $2.3 million for the three months ended April 30, 2026 compared to the three months ended April 30, 2025, generating a gross margin for professional services and other revenues of (16.3)% and (4.0)% for the three months ended April 30, 2025 and 2026, respectively. The increase in our professional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other gross margin for the three months ended April 30, 2026 was primarily attributable to a decrease in headcount, coupled with higher effective billing and utilization rates.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decrease primarily consisted of:</w:t>
      </w:r>
    </w:p>
    <w:p>
      <w:pPr>
        <w:spacing w:after="0" w:line="225" w:lineRule="exact"/>
        <w:rPr>
          <w:sz w:val="20"/>
          <w:szCs w:val="20"/>
          <w:color w:val="auto"/>
        </w:rPr>
      </w:pPr>
    </w:p>
    <w:p>
      <w:pPr>
        <w:ind w:left="1340" w:hanging="360"/>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decrease in personnel costs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for third-party costs of professional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87,955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69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$0.8 million for the three months ended April 30, 2026 compared to the three months ended April 30, 2025, primarily attributable to:</w:t>
      </w:r>
    </w:p>
    <w:p>
      <w:pPr>
        <w:spacing w:after="0" w:line="162"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personnel costs, primarily driven by increased commission expense,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increase in stock-based compensation expense.</w:t>
      </w:r>
    </w:p>
    <w:p>
      <w:pPr>
        <w:spacing w:after="0" w:line="225"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Sales and marketing headcount decreased by 18 from April 30, 2025 to April 30, 2026, primarily attributable to our workforce reduction in the second quarter of fiscal 2026.</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Research and development expenses decreased $4.5 million for the three months ended April 30,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primarily attributable to:</w:t>
      </w:r>
    </w:p>
    <w:p>
      <w:pPr>
        <w:spacing w:after="0" w:line="207" w:lineRule="exact"/>
        <w:rPr>
          <w:sz w:val="20"/>
          <w:szCs w:val="20"/>
          <w:color w:val="auto"/>
        </w:rPr>
      </w:pPr>
    </w:p>
    <w:p>
      <w:pPr>
        <w:ind w:left="1340" w:hanging="360"/>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million decrease in personnel costs due to lower costs from reduced headcount,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stock-based compensation expense,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$0.4 million increase in allocated overhead primarily attributable to internal investments in AI technology.</w:t>
      </w:r>
    </w:p>
    <w:p>
      <w:pPr>
        <w:spacing w:after="0" w:line="225"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Research and development headcount decreased by 92 from April 30, 2025 to April 30, 2026, primarily attributable to our workforce reduction in the second quarter of fiscal 2026.</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General and administrative expenses decreased $4.4 million for the three months ended April 30,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primarily attributable to a:</w:t>
      </w:r>
    </w:p>
    <w:p>
      <w:pPr>
        <w:spacing w:after="0" w:line="207" w:lineRule="exact"/>
        <w:rPr>
          <w:sz w:val="20"/>
          <w:szCs w:val="20"/>
          <w:color w:val="auto"/>
        </w:rPr>
      </w:pPr>
    </w:p>
    <w:p>
      <w:pPr>
        <w:ind w:left="1300" w:right="22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decrease in third-party professional fees, mostly attributable to a decrease in transaction-related expenses and professional fees,</w:t>
      </w:r>
    </w:p>
    <w:p>
      <w:pPr>
        <w:spacing w:after="0" w:line="161"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decrease in allocated overhead and other general and administrative costs, partially offset by a $0.2 million increase in the fair value of contingent consideration,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personnel costs due to lower costs from reduced headcount,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stock-based compensation expense.</w:t>
      </w:r>
    </w:p>
    <w:p>
      <w:pPr>
        <w:spacing w:after="0" w:line="225"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General and administrative headcount decreased by 19 from April 30, 2025 to April 30, 2026, primarily attributable to our workforce reduction in the second quarter of fiscal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417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366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(4,450)</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(4,481)</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16,097</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$0.1 million for the three months ended April 30, 2026 compared to the three months ended April 30, 2025, primarily attributable to balance and rate fluctuations of our accounts earning interest. Interest expense was flat for the three months ended April 30, 2026 compared to the three months ended April 30, 2025. The decrease of $16.4 million in other income (expense), net for the three months ended April 30, 2026 compared to the three months ended April 30, 2025, was primarily attributable to the settlement of certain intercompany loans and transactions in fiscal 2026 that were denominated in currencies other than the underlying functional currency of the applicable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4,534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1,680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Income tax provision was $4.5 million for the three months ended April 30, 2025, compared to a provision of $1.7 million for the three months ended April 30, 2026, and resulted in an effective tax rate of 43.0% and 10.1%, respectively. The change in the effective tax rate for the three months ended April 30, 2025 compared to the effective tax rate for the three months ended April 30, 2026 was primarily due to changes in our valuation allowance and profitability.</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several jurisdictions, including the U.S. and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determines when a valuation allowance should be recorded, utilizing significant judgment and the use of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non-GAAP operating income as an additional financial metric that is not prepared in accordance with GAAP (“non-GAAP”). Our calculation of non-GAAP operating income is described below.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7" w:lineRule="exact"/>
        <w:rPr>
          <w:sz w:val="20"/>
          <w:szCs w:val="20"/>
          <w:color w:val="auto"/>
        </w:rPr>
      </w:pPr>
    </w:p>
    <w:p>
      <w:pPr>
        <w:ind w:right="300" w:firstLine="891"/>
        <w:spacing w:after="0" w:line="258"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w:t>
      </w:r>
    </w:p>
    <w:p>
      <w:pPr>
        <w:spacing w:after="0" w:line="179" w:lineRule="exact"/>
        <w:rPr>
          <w:sz w:val="20"/>
          <w:szCs w:val="20"/>
          <w:color w:val="auto"/>
        </w:rPr>
      </w:pPr>
    </w:p>
    <w:p>
      <w:pPr>
        <w:ind w:right="660" w:firstLine="8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operating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Non-GAAP operating income is defined as Income (loss) from operations as reported in our unaudited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statements of operations excluding the following items: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nCino incurs amortization expense for purchased intangible assets in connection with certain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spacing w:after="0" w:line="183"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nCino excludes stock-based compensation expenses primarily because they are non-cash expenses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spacing w:after="0" w:line="18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Transaction-Related Expenses. </w:t>
      </w:r>
      <w:r>
        <w:rPr>
          <w:rFonts w:ascii="Times New Roman" w:cs="Times New Roman" w:eastAsia="Times New Roman" w:hAnsi="Times New Roman"/>
          <w:sz w:val="18"/>
          <w:szCs w:val="18"/>
          <w:color w:val="auto"/>
        </w:rPr>
        <w:t>nCino excludes expenses related to mergers and acquisitions or divestitures as they limit comparability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results with prior periods. Transaction-related expenses include but are not limited to, costs incurred from third-party professional services firms, change in fair value of contingent consideration, and one-time integration activities. We believe these costs are non-recurring in nature and outside the ordinary course of business.</w:t>
      </w:r>
    </w:p>
    <w:p>
      <w:pPr>
        <w:spacing w:after="0" w:line="180" w:lineRule="exact"/>
        <w:rPr>
          <w:sz w:val="20"/>
          <w:szCs w:val="20"/>
          <w:color w:val="auto"/>
        </w:rPr>
      </w:pPr>
    </w:p>
    <w:p>
      <w:pPr>
        <w:ind w:right="10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Litigation Expenses</w:t>
      </w:r>
      <w:r>
        <w:rPr>
          <w:rFonts w:ascii="Times New Roman" w:cs="Times New Roman" w:eastAsia="Times New Roman" w:hAnsi="Times New Roman"/>
          <w:sz w:val="18"/>
          <w:szCs w:val="18"/>
          <w:color w:val="auto"/>
        </w:rPr>
        <w:t>. nCino excludes fees and expenses related to certain litigation expenses incurred from legal matters outside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our business as we believe their exclusion from non-GAAP operating expenses will facilitate a more meaningful explanation of operating results and comparisons with prior period results.</w:t>
      </w:r>
    </w:p>
    <w:p>
      <w:pPr>
        <w:spacing w:after="0" w:line="173" w:lineRule="exact"/>
        <w:rPr>
          <w:sz w:val="20"/>
          <w:szCs w:val="20"/>
          <w:color w:val="auto"/>
        </w:rPr>
      </w:pPr>
    </w:p>
    <w:p>
      <w:pPr>
        <w:ind w:right="84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nCino excludes costs incurred related to bespoke restructuring plans and other one-time costs, if any,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fundamentally different in strategic nature and frequency from ongoing initiatives. We believe excluding these costs facilitates a more consistent comparison of operating performance over time.</w:t>
      </w:r>
    </w:p>
    <w:p>
      <w:pPr>
        <w:spacing w:after="0" w:line="17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GAAP income (loss) from operations, the most directly comparable financial measure, calculated and presented in accordance with GAAP: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income (loss) from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2026, we had $102.8 million in cash and cash equivalents. We have a history of losses, and while we have achieved profitability in certain periods, our accumulated deficit is $361.4 million as of April 30, 2026. Our historical net losses have been driven by our investments in developing the nCino Platform and scaling our sales and marketing organization and finance and administrative functions to support our rapid growth.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To date, we have funded our capital needs through operating cash flows, issuances of common stock including our initial public offering in July 2020, our revolving credit facility and term loan. To further our operational initiatives, in March 2026, we entered into an amendment to the 2024 Credit Agreement for an incremental term loan of $200.0 million. The proceeds were used to reduce a portion of the outstanding balance on our revolving credit facility and to finance an accelerated share repurchase program discussed below.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7"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2024 Credit Agreement matures on October 28, 2029. We are currently in compliance with all covenants, had used borrowing capacity of $63.5 million under our $250.0 million revolving credit facility, and had no letters of credit issued as of April 30, 2026. See Note 10 “Debt” of the notes to our unaudited condensed consolidated financial statements included in Part I, Item 1 of this Quarterly Report on Form 10-Q for more information.</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2024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repurchases of our common stock, and any potential future acquisitions. We may from time to 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In March 2025, our Board of Directors authorized the March 2025 Stock Repurchase Program of up to $100.0 million of our outstanding common stock which was completed in the third quarter of fiscal 2026.</w:t>
      </w:r>
    </w:p>
    <w:p>
      <w:pPr>
        <w:spacing w:after="0" w:line="162"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In December 2025, our Board of Directors authorized the December 2025 Stock Repurchase Program of up to $100.0 million of our outstanding common stock.</w:t>
      </w:r>
    </w:p>
    <w:p>
      <w:pPr>
        <w:spacing w:after="0" w:line="162"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In March 2026, our Board of Directors authorized the March 2026 Stock Repurchase Program to be completed under an accelerated share repurchase program of up to $100.0 million of our outstanding common stock.</w:t>
      </w:r>
    </w:p>
    <w:p>
      <w:pPr>
        <w:spacing w:after="0" w:line="162"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30, 2026, we repurchased 6.1 million shares of our outstanding common stock for $110.5 million (inclusive of $16.9 million in treasury stock not yet settled) under the December 2025 Stock Repurchase Program and the March 2026 Stock Repurchase Program. As of April 30, 2026, $65.0 million remained available for future repurchases under the December 2025 Stock Repurchase Program. See Note 8 “Stockholders’ Equity and Stock-Based Compensation” of the notes to our unaudited condensed consolidated financial statements included in Part I, Item 1 of this Quarterly Report on Form 10-Q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firstLine="891"/>
        <w:spacing w:after="0" w:line="273" w:lineRule="auto"/>
        <w:rPr>
          <w:sz w:val="20"/>
          <w:szCs w:val="20"/>
          <w:color w:val="auto"/>
        </w:rPr>
      </w:pPr>
      <w:r>
        <w:rPr>
          <w:rFonts w:ascii="Times New Roman" w:cs="Times New Roman" w:eastAsia="Times New Roman" w:hAnsi="Times New Roman"/>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2026 and April 30, 2026, the redeemable non-controlling interest was $12.7 million and $14.1 million,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three months ended April 30, 2025 and 2026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(65,885)</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$81.4 million provided by operating activities in the three months ended April 30, 2026 reflects our net income of $15.0 million, $30.2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net non-cash charges, and $36.3 million generated by changes in working capital accounts. Non-cash charges primarily consisted of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depreciation and amortization, amortization of costs capitalized to obtain revenue contracts, non-cash operating lease costs, change in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contingent consideration, foreign currency losses related to remeasurement of intercompany loans and transactions, deferred income taxes,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issuance costs, partially offset by recovery of bad debt. Cash generated by working capital accounts was principally a function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 million decrease in accounts receivable due to the timing of billings and collections from customers, a $14.9 million increase in deferred revenue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timing of billings and revenue recognition, and a $1.2 million increase in accounts payable. The cash generated by working capital accounts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 $15.3 million decrease in accrued expenses and other liabilities primarily due to the payment of bonuses and commissions,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$3.4 million of capitalized costs to obtain revenue contracts, a $1.4 million increase in prepaid expenses, and a $1.0 million decrease in operating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7"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The $54.3 million provided by operating activities in the three months ended April 30, 2025 reflects our net income of $6.0 million, $19.1 million in net non-cash charges and $29.2 million generated by changes in working capital accounts. Non-cash charges primarily consisted of stock-based compensation, depreciation and amortization, amortization of costs capitalized to obtain revenue contracts, deferred income taxes, non-cash operating lease costs, provision for bad debt, and change in fair value of contingent consideration, partially offset by deferred income taxes and foreign currency gains related to remeasurement of intercompany loans and transactions and gains on investments. Cash generated by working capital accounts was principally a function of a $45.7 million decrease in accounts receivable due to the timings of billings and collections from customers, $5.2 million increase in deferred revenue, due to the timing of billings and revenue recognition, and a $0.5 million increase in accounts payable. The cash generated by working capital accounts was partially offset by a $15.8 million decrease in accrued expenses and other liabilities primarily due to the payout of bonuses and commission, an increase of $3.2 million of capitalized costs to obtain revenue contracts, which consisted primarily of sales commissions, and a $1.5 million increase in prepaid expenses and other assets and a $1.3 million decrease in operating lease liabilities.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$0.6 million used in investing activities in the three months ended April 30, 2026 was comprised of $0.6 million for the purchase of property and equipment and leasehold improvements. The $48.3 million used in investing activities in the three months ended April 30, 2025 was comprised of $50.3 million used for the acquisition of Sandbox Banking and $1.7 million for the purchase of property and equipment and leasehold improvements to support the expansion of our business. The cash used in investing activities was partially offset by proceeds from the sale of an investment of $3.7 million.</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The $65.9 million used in financing activities in the three months ended April 30, 2026 was comprised principally of payments of $150.0 million on our credit facility, repurchases of our common stock of $110.1 million, payment of contingent consideration of $5.3 million, and principal payments of $0.3 million on financing obligations. The cash used in financing activities was offset by $199.3 million proceeds from borrowings on our term loan, net of debt issuance costs to pay down a portion of our revolving credit facility and make repurchases of our common stock under stock repurchase programs, and $0.5 million of proceeds from the exercise of stock options. The $2.3 million provided by financing activities in the three months ended April 30, 2025 was comprised principally of $102.5 million proceeds from borrowings on our credit facility, to fund the acquisition of Sandbox Banking and to make repurchases of our common stock under the stock repurchase program, and $0.7 million of proceeds from the exercise of stock options. The cash provided by financing activities was offset by payments of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on our credit facility, repurchases of our common stock of $40.6 million, and principal payments of $0.4 million on financing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80" w:firstLine="891"/>
        <w:spacing w:after="0" w:line="258"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acquisition liabilities, the 2024 Credit Facility, and the Term Loan. See Note 6 “Business Combinations,” Note 9 “Leases,” Note 10 “Debt,” and Note 11 “Commitments and Contingencies” of the notes to our unaudited condensed consolidated financial statements included in Part I, Item 1 of this Quarterly Report on Form 10-Q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7"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2026 filed with the SEC on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40" w:firstLine="891"/>
        <w:spacing w:after="0" w:line="266" w:lineRule="auto"/>
        <w:rPr>
          <w:sz w:val="20"/>
          <w:szCs w:val="20"/>
          <w:color w:val="auto"/>
        </w:rPr>
      </w:pPr>
      <w:r>
        <w:rPr>
          <w:rFonts w:ascii="Times New Roman" w:cs="Times New Roman" w:eastAsia="Times New Roman" w:hAnsi="Times New Roman"/>
          <w:sz w:val="18"/>
          <w:szCs w:val="18"/>
          <w:color w:val="auto"/>
        </w:rPr>
        <w:t>See Note 1 “Summary of Business and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8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At April 30, 2026, we had cash, cash equivalents and restricted cash of $103.1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At April 30, 2026, we had outstanding principal debt of $263.5 million. Borrowings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 certain leverage ratios. We are exposed to increased interest rate risk as we make draws. A hypothetical 100 basis point change in interest rates would not have had a material impact on our financial results included in this Quarterly Report on Form 10-Q. See Note 10 “Debt” of the notes to our unaudited condensed consolidated financial statements included in Part I, Item 1 of this Quarterly Report on Form 10-Q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within stockholders’ equity. Gains or losses due to transactions in foreign currencies, the majority of which is due to the remeasurement of intercompany loans and transactions that are denominated in currencies other than the underlying functional currency of the applicable entity, are included in Other income (expense), net in our unaudited condensed consolidated statements of operations. To help mitigate the risk going forward, we settled a majority of our intercompany loans during fiscal 2026.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2"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At April 30, 2026, based on the balances of our cash, cash equivalents, and restricted cash denominated in foreign currencies, a hypothetical 10% increase or decrease in foreign currency exchange rates would have had an impact of approximately $4.7 million on our cash, cash equivalents and restricted cash at April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April 30, 2026, the last day of the period covered by this Quarterly Report on Form 10-Q. Based on this evaluation, our Chief Executive Officer and Chief Financial Officer have concluded that, at April 30, 2026,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litigation matters and be subject to claims that arise in the ordinary course of business. For information regarding legal proceedings, see Note 11 “Commitments and Contingencies” of the notes to our unaudited condensed consolidated financial statements included in Part I, Item 1 of this Quarterly Report on Form 10-Q,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2026 filed with the SEC on March 31, 2026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April 30, 2026 (in thousands, except share and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96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19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9"/>
                <w:szCs w:val="9"/>
                <w:b w:val="1"/>
                <w:bCs w:val="1"/>
                <w:color w:val="auto"/>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9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2026 to April 30,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6,124,046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6,124,046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8"/>
        <w:spacing w:after="0" w:line="280" w:lineRule="auto"/>
        <w:tabs>
          <w:tab w:leader="none" w:pos="165"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December 2025, our Board of Directors authorized, and on December 8, 2025, the Company announced a stock repurchase program of up to $100.0 million of our outstanding common stock. In March 2026, our Board of Directors authorized, and on March 31, 2026, the Company entered into an ASR agreement with Wells Fargo Bank, N.A, for $100.0 million of our outstanding common stock. Upon payment of the aggregate purchase price of $100.0 million, we received initial delivery of 5,547,850 shares of our common stock at an initial price of $14.98 per share, representing approximately 80% of the aggregate purchase price. See Note 8 “Stockholders’ Equity and Stock-Based Compensation” of the notes to our unaudited condensed consolidated financial statements included in Part 1, Item 1 of this Quarterly Report on Form 10-Q for additional information.</w:t>
      </w:r>
    </w:p>
    <w:p>
      <w:pPr>
        <w:spacing w:after="0" w:line="151"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average price per share excludes transaction costs and excise tax associated with the repurchases.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the following Section 16 officers adopted, modified, or terminated a “Rule 10b5-1 trading arrangement” as defined in Item 408 of Regulation S-K, as follows:</w:t>
      </w:r>
    </w:p>
    <w:p>
      <w:pPr>
        <w:spacing w:after="0" w:line="16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On April 8, 2026, William Ruh, Director, adopted a Rule 10b5-1 trading arrangement providing for the sale from time to time of an aggregate of up to 185,000 shares of our common stock. The trading arrangement is intended to satisfy the affirmative defense in Rule 10b5-1(c). The duration of the trading arrangement is until April 8, 2027, or earlier if all transactions under the trading arrangement are completed.</w:t>
      </w:r>
    </w:p>
    <w:p>
      <w:pPr>
        <w:spacing w:after="0" w:line="176"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920" w:type="dxa"/>
            <w:vAlign w:val="bottom"/>
            <w:gridSpan w:val="15"/>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5"/>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6"/>
          </w:tcPr>
          <w:p>
            <w:pPr>
              <w:spacing w:after="0" w:line="188"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Third Amended and Restated Certificate of Incorporation</w:t>
              </w:r>
            </w:hyperlink>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20, 2025</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Amended and Restated Bylaws</w:t>
              </w:r>
            </w:hyperlink>
          </w:p>
        </w:tc>
        <w:tc>
          <w:tcPr>
            <w:tcW w:w="1880" w:type="dxa"/>
            <w:vAlign w:val="bottom"/>
            <w:tcBorders>
              <w:top w:val="single" w:sz="8" w:color="0000FF"/>
            </w:tcBorders>
            <w:gridSpan w:val="8"/>
          </w:tcPr>
          <w:p>
            <w:pPr>
              <w:spacing w:after="0"/>
              <w:rPr>
                <w:sz w:val="18"/>
                <w:szCs w:val="18"/>
                <w:color w:val="auto"/>
              </w:rPr>
            </w:pPr>
          </w:p>
        </w:tc>
        <w:tc>
          <w:tcPr>
            <w:tcW w:w="140" w:type="dxa"/>
            <w:vAlign w:val="bottom"/>
            <w:gridSpan w:val="6"/>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gridSpan w:val="1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Incremental Facility Amendment by and among nCino,</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18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Inc., nCino OpCo, Inc., certain subsidiaries of nCino, Inc.</w:t>
              </w:r>
            </w:hyperlink>
          </w:p>
        </w:tc>
        <w:tc>
          <w:tcPr>
            <w:tcW w:w="10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6"/>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as guarantors and Bank of America, N.A., dated March 30,</w:t>
              </w:r>
            </w:hyperlink>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87">
              <w:r>
                <w:rPr>
                  <w:rFonts w:ascii="Times New Roman" w:cs="Times New Roman" w:eastAsia="Times New Roman" w:hAnsi="Times New Roman"/>
                  <w:sz w:val="18"/>
                  <w:szCs w:val="18"/>
                  <w:color w:val="0000FF"/>
                  <w:w w:val="94"/>
                </w:rPr>
                <w:t>2026</w:t>
              </w:r>
            </w:hyperlink>
          </w:p>
        </w:tc>
        <w:tc>
          <w:tcPr>
            <w:tcW w:w="19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3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Accelerated share repurchase agreement (the “ASR</w:t>
            </w:r>
          </w:p>
        </w:tc>
        <w:tc>
          <w:tcPr>
            <w:tcW w:w="56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8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9"/>
              </w:rPr>
              <w:t>Agreement”) with Wells Fargo Bank, National Association</w:t>
            </w: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(“Wells Fargo”), dated March 31, 2026</w:t>
            </w:r>
          </w:p>
        </w:tc>
        <w:tc>
          <w:tcPr>
            <w:tcW w:w="142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10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10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5"/>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6"/>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right="300" w:hanging="954"/>
        <w:spacing w:after="0" w:line="23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Desmond</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Desmond</w:t>
            </w:r>
          </w:p>
        </w:tc>
      </w:tr>
      <w:tr>
        <w:trPr>
          <w:trHeight w:val="230"/>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4"/>
        </w:trPr>
        <w:tc>
          <w:tcPr>
            <w:tcW w:w="3480" w:type="dxa"/>
            <w:vAlign w:val="bottom"/>
          </w:tcPr>
          <w:p>
            <w:pPr>
              <w:spacing w:after="0"/>
              <w:rPr>
                <w:sz w:val="24"/>
                <w:szCs w:val="24"/>
                <w:color w:val="auto"/>
              </w:rPr>
            </w:pPr>
          </w:p>
        </w:tc>
        <w:tc>
          <w:tcPr>
            <w:tcW w:w="3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43</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307" w:lineRule="exact"/>
        <w:rPr>
          <w:sz w:val="20"/>
          <w:szCs w:val="20"/>
          <w:color w:val="auto"/>
        </w:rPr>
      </w:pPr>
    </w:p>
    <w:p>
      <w:pPr>
        <w:ind w:left="818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9"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4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nCino Inc.</w:t>
            </w:r>
          </w:p>
        </w:tc>
        <w:tc>
          <w:tcPr>
            <w:tcW w:w="0" w:type="dxa"/>
            <w:vAlign w:val="bottom"/>
          </w:tcPr>
          <w:p>
            <w:pPr>
              <w:spacing w:after="0"/>
              <w:rPr>
                <w:sz w:val="1"/>
                <w:szCs w:val="1"/>
                <w:color w:val="auto"/>
              </w:rPr>
            </w:pPr>
          </w:p>
        </w:tc>
      </w:tr>
      <w:tr>
        <w:trPr>
          <w:trHeight w:val="90"/>
        </w:trPr>
        <w:tc>
          <w:tcPr>
            <w:tcW w:w="110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6770 Parker Farm Drive Wilmington, NC</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28405</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Greg Orenstein</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910-777-5418</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w:t>
            </w:r>
          </w:p>
        </w:tc>
        <w:tc>
          <w:tcPr>
            <w:tcW w:w="44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Wells Fargo Bank, National Association 30 Hudson</w:t>
            </w: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Yards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York, NY 10001-2170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Email:CorporateDerivativeNotifications@wellsfargo.com</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Forward Share Repurchase Transaction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9" w:right="640"/>
        <w:spacing w:after="0" w:line="262"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transaction entered into between Wells Fargo Bank, National Association (“</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nCino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Confirmation (including the Appendix and Annex hereto) constitutes a “Confirmation” as referred to in the Master Agreement specified below.</w:t>
      </w:r>
    </w:p>
    <w:p>
      <w:pPr>
        <w:spacing w:after="0" w:line="221" w:lineRule="exact"/>
        <w:rPr>
          <w:sz w:val="20"/>
          <w:szCs w:val="20"/>
          <w:color w:val="auto"/>
        </w:rPr>
      </w:pPr>
    </w:p>
    <w:p>
      <w:pPr>
        <w:jc w:val="both"/>
        <w:ind w:left="9" w:right="660"/>
        <w:spacing w:after="0" w:line="261" w:lineRule="auto"/>
        <w:rPr>
          <w:sz w:val="20"/>
          <w:szCs w:val="20"/>
          <w:color w:val="auto"/>
        </w:rPr>
      </w:pPr>
      <w:r>
        <w:rPr>
          <w:rFonts w:ascii="Times New Roman" w:cs="Times New Roman" w:eastAsia="Times New Roman" w:hAnsi="Times New Roman"/>
          <w:sz w:val="18"/>
          <w:szCs w:val="18"/>
          <w:color w:val="auto"/>
        </w:rPr>
        <w:t>This Confirmation is subject to, and incorporates, 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Any capitalized term not otherwise defined herein shall have the meaning assigned to such term in the Equity Definitions. The Transaction is a Share Forward Transaction for purposes of the Equity Definitions.</w:t>
      </w:r>
    </w:p>
    <w:p>
      <w:pPr>
        <w:spacing w:after="0" w:line="207" w:lineRule="exact"/>
        <w:rPr>
          <w:sz w:val="20"/>
          <w:szCs w:val="20"/>
          <w:color w:val="auto"/>
        </w:rPr>
      </w:pPr>
    </w:p>
    <w:p>
      <w:pPr>
        <w:jc w:val="both"/>
        <w:ind w:left="9" w:right="640" w:hanging="9"/>
        <w:spacing w:after="0" w:line="270" w:lineRule="auto"/>
        <w:tabs>
          <w:tab w:leader="none" w:pos="418" w:val="left"/>
        </w:tabs>
        <w:numPr>
          <w:ilvl w:val="0"/>
          <w:numId w:val="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Confirmation evidences a complete and binding agreement between Wells Fargo and Counterparty as to the terms of the Transaction to which this Confirmation relates. The Confirmation shall be subject to an agreement (the “</w:t>
      </w:r>
      <w:r>
        <w:rPr>
          <w:rFonts w:ascii="Times New Roman" w:cs="Times New Roman" w:eastAsia="Times New Roman" w:hAnsi="Times New Roman"/>
          <w:sz w:val="17"/>
          <w:szCs w:val="17"/>
          <w:b w:val="1"/>
          <w:bCs w:val="1"/>
          <w:color w:val="auto"/>
        </w:rPr>
        <w:t>Master Agreement</w:t>
      </w:r>
      <w:r>
        <w:rPr>
          <w:rFonts w:ascii="Times New Roman" w:cs="Times New Roman" w:eastAsia="Times New Roman" w:hAnsi="Times New Roman"/>
          <w:sz w:val="17"/>
          <w:szCs w:val="17"/>
          <w:color w:val="auto"/>
        </w:rPr>
        <w:t>”) in the form of the 2002 ISDA Master Agreement (the “</w:t>
      </w:r>
      <w:r>
        <w:rPr>
          <w:rFonts w:ascii="Times New Roman" w:cs="Times New Roman" w:eastAsia="Times New Roman" w:hAnsi="Times New Roman"/>
          <w:sz w:val="17"/>
          <w:szCs w:val="17"/>
          <w:b w:val="1"/>
          <w:bCs w:val="1"/>
          <w:color w:val="auto"/>
        </w:rPr>
        <w:t>ISDA Form</w:t>
      </w:r>
      <w:r>
        <w:rPr>
          <w:rFonts w:ascii="Times New Roman" w:cs="Times New Roman" w:eastAsia="Times New Roman" w:hAnsi="Times New Roman"/>
          <w:sz w:val="17"/>
          <w:szCs w:val="17"/>
          <w:color w:val="auto"/>
        </w:rPr>
        <w:t>”) as if Wells Fargo and Counterparty had executed an agreement in such form on the date of this Confirmation (without any Schedule except for (i) New York Law (without reference to its choice of laws doctrine other than Title</w:t>
      </w:r>
    </w:p>
    <w:p>
      <w:pPr>
        <w:spacing w:after="0" w:line="2" w:lineRule="exact"/>
        <w:rPr>
          <w:rFonts w:ascii="Times New Roman" w:cs="Times New Roman" w:eastAsia="Times New Roman" w:hAnsi="Times New Roman"/>
          <w:sz w:val="17"/>
          <w:szCs w:val="17"/>
          <w:color w:val="010000"/>
        </w:rPr>
      </w:pPr>
    </w:p>
    <w:p>
      <w:pPr>
        <w:jc w:val="both"/>
        <w:ind w:left="9" w:right="660" w:hanging="9"/>
        <w:spacing w:after="0" w:line="250" w:lineRule="auto"/>
        <w:tabs>
          <w:tab w:leader="none" w:pos="2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5 of the New York General Obligations Law) as the governing law, (ii) the “Cross Default” provisions of Section 5(a)(vi) of the Master Agreement shall apply to Wells Fargo, with a “Threshold Amount” of three percent (3%) of stockholders equity of Wells Fargo &amp; Co.</w:t>
      </w:r>
    </w:p>
    <w:p>
      <w:pPr>
        <w:jc w:val="both"/>
        <w:ind w:left="9" w:righ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text “, or becoming capable at such time of being declared,” shall be deleted from Section 5(a)(vi)(1) of the Master Agreement, (b) the following provision shall be added to the end of Section 5(a)(vi) of the Master Agreement: “but a default under clause (2) above shall not constitute an Event of Default if (x) the default was caused solely by error or omission of an administrative or operational nature, (y) funds were available to enable the party to make the payment when due and (z) the payment is made within one Local Business Day of such party’s receipt of written notice of its failure to pay”, (ii) “Specified Indebtedness” has the meaning specified in Section 14 of the Master Agreement, except that, with respect to Dealer such term shall not include obligations in respect of deposits received in the ordinary course of Wells Fargo’s banking business).</w:t>
      </w:r>
    </w:p>
    <w:p>
      <w:pPr>
        <w:spacing w:after="0" w:line="229" w:lineRule="exact"/>
        <w:rPr>
          <w:sz w:val="20"/>
          <w:szCs w:val="20"/>
          <w:color w:val="auto"/>
        </w:rPr>
      </w:pPr>
    </w:p>
    <w:p>
      <w:pPr>
        <w:jc w:val="both"/>
        <w:ind w:left="9" w:right="640" w:firstLine="648"/>
        <w:spacing w:after="0" w:line="255" w:lineRule="auto"/>
        <w:rPr>
          <w:sz w:val="20"/>
          <w:szCs w:val="20"/>
          <w:color w:val="auto"/>
        </w:rPr>
      </w:pPr>
      <w:r>
        <w:rPr>
          <w:rFonts w:ascii="Times New Roman" w:cs="Times New Roman" w:eastAsia="Times New Roman" w:hAnsi="Times New Roman"/>
          <w:sz w:val="18"/>
          <w:szCs w:val="18"/>
          <w:color w:val="auto"/>
        </w:rPr>
        <w:t>The Transaction shall be the sole Transaction under the Master Agreement. If there exists any ISDA Master Agreement between Wells Fargo and Counterparty or any confirmation or other agreement between Wells Fargo and Counterparty pursuant to which an ISDA Master Agreement is deemed to exist between Dealer and Counterparty (each such ISDA Master Agreement, confirmation and other agreement, an “</w:t>
      </w:r>
      <w:r>
        <w:rPr>
          <w:rFonts w:ascii="Times New Roman" w:cs="Times New Roman" w:eastAsia="Times New Roman" w:hAnsi="Times New Roman"/>
          <w:sz w:val="18"/>
          <w:szCs w:val="18"/>
          <w:b w:val="1"/>
          <w:bCs w:val="1"/>
          <w:color w:val="auto"/>
        </w:rPr>
        <w:t>Other Master Agreement</w:t>
      </w:r>
      <w:r>
        <w:rPr>
          <w:rFonts w:ascii="Times New Roman" w:cs="Times New Roman" w:eastAsia="Times New Roman" w:hAnsi="Times New Roman"/>
          <w:sz w:val="18"/>
          <w:szCs w:val="18"/>
          <w:color w:val="auto"/>
        </w:rPr>
        <w:t>”), then notwithstanding anything to the contrary in any Other Master Agreement, the Transaction shall not be considered or deemed to be a Transaction under, or otherwise governed by, any Other Master Agreement, and the occurrence of an Event of Default, Termination Event or other event with respect to the Transaction shall not, by itself, give rise to any right or obligation under any Other Master Agreement.</w:t>
      </w:r>
    </w:p>
    <w:p>
      <w:pPr>
        <w:sectPr>
          <w:pgSz w:w="11900" w:h="16838" w:orient="portrait"/>
          <w:cols w:equalWidth="0" w:num="1">
            <w:col w:w="10909"/>
          </w:cols>
          <w:pgMar w:left="651" w:top="127" w:right="339" w:bottom="1440" w:gutter="0" w:footer="0" w:header="0"/>
        </w:sectPr>
      </w:pPr>
    </w:p>
    <w:bookmarkStart w:id="47" w:name="page48"/>
    <w:bookmarkEnd w:id="47"/>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Master Agreement will govern this Confirmation except as expressly modified herein. If, in relation to the Transaction, there is any inconsistency between the Master Agreement, this Confirmation and the Equity Definitions, the following will prevail for purposes of such Transaction in the order of precedence indicated: (i) this Confirmation; (ii) the Equity Definitions; and (iii) the Master Agreement.</w:t>
      </w:r>
    </w:p>
    <w:p>
      <w:pPr>
        <w:spacing w:after="0" w:line="139" w:lineRule="exact"/>
        <w:rPr>
          <w:sz w:val="20"/>
          <w:szCs w:val="20"/>
          <w:color w:val="auto"/>
        </w:rPr>
      </w:pPr>
    </w:p>
    <w:p>
      <w:pPr>
        <w:ind w:left="720" w:hanging="647"/>
        <w:spacing w:after="0"/>
        <w:tabs>
          <w:tab w:leader="none" w:pos="720"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terms of the particular Transaction to which this Confirmation relates are as follows:</w:t>
      </w:r>
    </w:p>
    <w:p>
      <w:pPr>
        <w:sectPr>
          <w:pgSz w:w="11900" w:h="16838" w:orient="portrait"/>
          <w:cols w:equalWidth="0" w:num="1">
            <w:col w:w="10260"/>
          </w:cols>
          <w:pgMar w:left="660" w:top="1440" w:right="979" w:bottom="1440" w:gutter="0" w:footer="0" w:header="0"/>
        </w:sectPr>
      </w:pPr>
    </w:p>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Trade Date:</w:t>
      </w:r>
    </w:p>
    <w:p>
      <w:pPr>
        <w:spacing w:after="0" w:line="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Seller: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Buyer: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Exchange:</w:t>
      </w:r>
    </w:p>
    <w:p>
      <w:pPr>
        <w:spacing w:after="0" w:line="2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Related Exchange(s):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Prepayment/Variable Obligation:</w:t>
      </w:r>
    </w:p>
    <w:p>
      <w:pPr>
        <w:spacing w:after="0" w:line="1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Prepayment Date: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Prepayment Amount: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Initial Shares: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Initial Share Delivery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140"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color w:val="auto"/>
        </w:rPr>
        <w:t>The common stock of Counterparty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par value USD 0.0005 per share (Exchange ticker symbol: “NCNO”)</w:t>
      </w:r>
    </w:p>
    <w:p>
      <w:pPr>
        <w:spacing w:after="0" w:line="105" w:lineRule="exact"/>
        <w:rPr>
          <w:sz w:val="20"/>
          <w:szCs w:val="20"/>
          <w:color w:val="auto"/>
        </w:rPr>
      </w:pPr>
    </w:p>
    <w:p>
      <w:pPr>
        <w:jc w:val="both"/>
        <w:ind w:right="1020"/>
        <w:spacing w:after="0" w:line="253" w:lineRule="auto"/>
        <w:rPr>
          <w:sz w:val="20"/>
          <w:szCs w:val="20"/>
          <w:color w:val="auto"/>
        </w:rPr>
      </w:pPr>
      <w:r>
        <w:rPr>
          <w:rFonts w:ascii="Times New Roman" w:cs="Times New Roman" w:eastAsia="Times New Roman" w:hAnsi="Times New Roman"/>
          <w:sz w:val="18"/>
          <w:szCs w:val="18"/>
          <w:color w:val="auto"/>
        </w:rPr>
        <w:t>For any Exchange Business Day, the 10b-18 volume-weighted average price per Share at which the Shares trade for the regular trading session (including any extensions thereof) of the Exchange on such Exchange Business Day (without regard to pre-open or after hours trading outside of such regular trading session), as reported by Bloomberg at 4:15 p.m. (New York City time) (or 15 minutes following the end of any extension of the regular trading session) on such Exchange Business Day, on Bloomberg Page “NCNO&lt;Equity&gt; AQR_SEC” (or any successor thereto). If such price is not reported on such Exchange Business Day for any reason or is, in the Calculation Agent’s good faith and commercially reasonable discretion, erroneous, such VWAP Price shall be determined by the Calculation Agent in good faith and in a commercially reasonable manner.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171" w:lineRule="exact"/>
        <w:rPr>
          <w:sz w:val="20"/>
          <w:szCs w:val="20"/>
          <w:color w:val="auto"/>
        </w:rPr>
      </w:pPr>
    </w:p>
    <w:p>
      <w:pPr>
        <w:jc w:val="both"/>
        <w:ind w:right="1020"/>
        <w:spacing w:after="0" w:line="266" w:lineRule="auto"/>
        <w:rPr>
          <w:sz w:val="20"/>
          <w:szCs w:val="20"/>
          <w:color w:val="auto"/>
        </w:rPr>
      </w:pPr>
      <w:r>
        <w:rPr>
          <w:rFonts w:ascii="Times New Roman" w:cs="Times New Roman" w:eastAsia="Times New Roman" w:hAnsi="Times New Roman"/>
          <w:sz w:val="18"/>
          <w:szCs w:val="18"/>
          <w:color w:val="auto"/>
        </w:rPr>
        <w:t>All Exchanges; provided that Section 1.26 of the Equity Definitions shall be amended to add the words “United States” before the word “exchange” in the tenth line of that Section.</w:t>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Appendix 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Appendix 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Appendix A.</w:t>
      </w:r>
    </w:p>
    <w:p>
      <w:pPr>
        <w:spacing w:after="0" w:line="171" w:lineRule="exact"/>
        <w:rPr>
          <w:sz w:val="20"/>
          <w:szCs w:val="20"/>
          <w:color w:val="auto"/>
        </w:rPr>
      </w:pPr>
    </w:p>
    <w:p>
      <w:pPr>
        <w:jc w:val="both"/>
        <w:ind w:right="1020"/>
        <w:spacing w:after="0" w:line="252" w:lineRule="auto"/>
        <w:rPr>
          <w:sz w:val="20"/>
          <w:szCs w:val="20"/>
          <w:color w:val="auto"/>
        </w:rPr>
      </w:pPr>
      <w:r>
        <w:rPr>
          <w:rFonts w:ascii="Times New Roman" w:cs="Times New Roman" w:eastAsia="Times New Roman" w:hAnsi="Times New Roman"/>
          <w:sz w:val="18"/>
          <w:szCs w:val="18"/>
          <w:color w:val="auto"/>
        </w:rPr>
        <w:t>The Prepayment Date. On the Initial Share Delivery Date, Wells Fargo shall deliver a number of Shares equal to the Initial Shares to Counterparty in accordance with Section 9.4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Equity Definitions, with the Initial Share Delivery Date</w:t>
      </w:r>
    </w:p>
    <w:p>
      <w:pPr>
        <w:spacing w:after="0" w:line="200" w:lineRule="exact"/>
        <w:rPr>
          <w:sz w:val="20"/>
          <w:szCs w:val="20"/>
          <w:color w:val="auto"/>
        </w:rPr>
      </w:pPr>
    </w:p>
    <w:p>
      <w:pPr>
        <w:sectPr>
          <w:pgSz w:w="11900" w:h="16838" w:orient="portrait"/>
          <w:cols w:equalWidth="0" w:num="2">
            <w:col w:w="3400" w:space="440"/>
            <w:col w:w="6420"/>
          </w:cols>
          <w:pgMar w:left="660" w:top="1440"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60"/>
          </w:cols>
          <w:pgMar w:left="660" w:top="1440" w:right="979" w:bottom="1440" w:gutter="0" w:footer="0" w:header="0"/>
          <w:type w:val="continuous"/>
        </w:sectPr>
      </w:pPr>
    </w:p>
    <w:bookmarkStart w:id="48" w:name="page49"/>
    <w:bookmarkEnd w:id="48"/>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deemed to be a “Settlement Date” for purposes of such Section 9.4.</w:t>
            </w:r>
          </w:p>
        </w:tc>
      </w:tr>
      <w:tr>
        <w:trPr>
          <w:trHeight w:val="702"/>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Valuation Terms:</w:t>
            </w:r>
          </w:p>
        </w:tc>
        <w:tc>
          <w:tcPr>
            <w:tcW w:w="1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8"/>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Valuation Date(s):</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Scheduled Valuation Date; provided that Wells Fargo shall have the</w:t>
            </w:r>
          </w:p>
        </w:tc>
      </w:tr>
      <w:tr>
        <w:trPr>
          <w:trHeight w:val="20"/>
        </w:trPr>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4"/>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right in its absolute discretion, to accelerate the Valuation Date for all or</w:t>
            </w:r>
          </w:p>
        </w:tc>
      </w:tr>
      <w:tr>
        <w:trPr>
          <w:trHeight w:val="220"/>
        </w:trPr>
        <w:tc>
          <w:tcPr>
            <w:tcW w:w="1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any part of the Transaction (each, an “</w:t>
            </w:r>
            <w:r>
              <w:rPr>
                <w:rFonts w:ascii="Times New Roman" w:cs="Times New Roman" w:eastAsia="Times New Roman" w:hAnsi="Times New Roman"/>
                <w:sz w:val="18"/>
                <w:szCs w:val="18"/>
                <w:b w:val="1"/>
                <w:bCs w:val="1"/>
                <w:color w:val="auto"/>
              </w:rPr>
              <w:t>Accelerated Valuation Date</w:t>
            </w:r>
            <w:r>
              <w:rPr>
                <w:rFonts w:ascii="Times New Roman" w:cs="Times New Roman" w:eastAsia="Times New Roman" w:hAnsi="Times New Roman"/>
                <w:sz w:val="18"/>
                <w:szCs w:val="18"/>
                <w:color w:val="auto"/>
              </w:rPr>
              <w:t>”) to</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any date that is on or after the Earliest Acceleration Date, by giving notice</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prior to 8:00</w:t>
            </w:r>
          </w:p>
        </w:tc>
      </w:tr>
      <w:tr>
        <w:trPr>
          <w:trHeight w:val="212"/>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p.m. (New York City time) on the Exchange Business Day immediately</w:t>
            </w:r>
          </w:p>
        </w:tc>
      </w:tr>
      <w:tr>
        <w:trPr>
          <w:trHeight w:val="220"/>
        </w:trPr>
        <w:tc>
          <w:tcPr>
            <w:tcW w:w="1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following such date (each, an “</w:t>
            </w:r>
            <w:r>
              <w:rPr>
                <w:rFonts w:ascii="Times New Roman" w:cs="Times New Roman" w:eastAsia="Times New Roman" w:hAnsi="Times New Roman"/>
                <w:sz w:val="18"/>
                <w:szCs w:val="18"/>
                <w:b w:val="1"/>
                <w:bCs w:val="1"/>
                <w:color w:val="auto"/>
              </w:rPr>
              <w:t>Acceleration Notice</w:t>
            </w:r>
            <w:r>
              <w:rPr>
                <w:rFonts w:ascii="Times New Roman" w:cs="Times New Roman" w:eastAsia="Times New Roman" w:hAnsi="Times New Roman"/>
                <w:sz w:val="18"/>
                <w:szCs w:val="18"/>
                <w:color w:val="auto"/>
              </w:rPr>
              <w:t>”). Wells Fargo shall</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specify in each Acceleration Notice the portion of the Prepayment Amount</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that is subject to acceleration (which may be less than the full Prepayment</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Amount). If the portion of the Prepayment Amount that is subject to</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acceleration is less than the full Prepayment Amount, then the Calculation</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Agent shall adjust the terms of the Transaction as appropriate in order to</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take into account the occurrence of such Accelerated Valuation Date</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(including  cumulative  adjustments  to  take  into  account  all  prior</w:t>
            </w:r>
          </w:p>
        </w:tc>
      </w:t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Accelerated Valuation Dates).</w:t>
            </w:r>
          </w:p>
        </w:tc>
      </w:tr>
      <w:tr>
        <w:trPr>
          <w:trHeight w:val="360"/>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Scheduled Valuation Date:</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As specified in Appendix A, subject to postponement as provided in</w:t>
            </w:r>
          </w:p>
        </w:tc>
      </w:t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“Valuation Disruption” below.</w:t>
            </w:r>
          </w:p>
        </w:tc>
      </w:tr>
      <w:tr>
        <w:trPr>
          <w:trHeight w:val="378"/>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Earliest Acceleration Date:</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As specified in Appendix A.</w:t>
            </w:r>
          </w:p>
        </w:tc>
      </w:tr>
      <w:tr>
        <w:trPr>
          <w:trHeight w:val="360"/>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Calculation Period:</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For any Valuation Date, the period from, and including, the Calculation</w:t>
            </w:r>
          </w:p>
        </w:tc>
      </w:t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Period Start Date to, and including, such Valuation Date.</w:t>
            </w:r>
          </w:p>
        </w:tc>
      </w:tr>
      <w:tr>
        <w:trPr>
          <w:trHeight w:val="378"/>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Calculation Period Start Date:</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As specified in Appendix A.</w:t>
            </w:r>
          </w:p>
        </w:tc>
      </w:tr>
      <w:tr>
        <w:trPr>
          <w:trHeight w:val="360"/>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Forward Price:</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For any Valuation Date, the arithmetic average of the VWAP Price for</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each Exchange Business Day during the Calculation Period (subject to</w:t>
            </w:r>
          </w:p>
        </w:tc>
      </w:tr>
      <w:tr>
        <w:trPr>
          <w:trHeight w:val="194"/>
        </w:trPr>
        <w:tc>
          <w:tcPr>
            <w:tcW w:w="1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800" w:type="dxa"/>
            <w:vAlign w:val="bottom"/>
            <w:gridSpan w:val="5"/>
          </w:tcPr>
          <w:p>
            <w:pPr>
              <w:ind w:left="400"/>
              <w:spacing w:after="0" w:line="194" w:lineRule="exact"/>
              <w:rPr>
                <w:sz w:val="20"/>
                <w:szCs w:val="20"/>
                <w:color w:val="auto"/>
              </w:rPr>
            </w:pPr>
            <w:r>
              <w:rPr>
                <w:rFonts w:ascii="Times New Roman" w:cs="Times New Roman" w:eastAsia="Times New Roman" w:hAnsi="Times New Roman"/>
                <w:sz w:val="18"/>
                <w:szCs w:val="18"/>
                <w:color w:val="auto"/>
              </w:rPr>
              <w:t>“Valuation Disruption” below) minus the Forward Price Adjustment.</w:t>
            </w:r>
          </w:p>
        </w:tc>
      </w:tr>
      <w:tr>
        <w:trPr>
          <w:trHeight w:val="398"/>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Forward Price Adjustment:</w:t>
            </w:r>
          </w:p>
        </w:tc>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 specified in Appendix A.</w:t>
            </w:r>
          </w:p>
        </w:tc>
        <w:tc>
          <w:tcPr>
            <w:tcW w:w="440" w:type="dxa"/>
            <w:vAlign w:val="bottom"/>
            <w:tcBorders>
              <w:top w:val="single" w:sz="8" w:color="auto"/>
            </w:tcBorders>
            <w:gridSpan w:val="2"/>
          </w:tcPr>
          <w:p>
            <w:pPr>
              <w:spacing w:after="0"/>
              <w:rPr>
                <w:sz w:val="24"/>
                <w:szCs w:val="24"/>
                <w:color w:val="auto"/>
              </w:rPr>
            </w:pPr>
          </w:p>
        </w:tc>
        <w:tc>
          <w:tcPr>
            <w:tcW w:w="2700" w:type="dxa"/>
            <w:vAlign w:val="bottom"/>
            <w:gridSpan w:val="2"/>
          </w:tcPr>
          <w:p>
            <w:pPr>
              <w:spacing w:after="0"/>
              <w:rPr>
                <w:sz w:val="24"/>
                <w:szCs w:val="24"/>
                <w:color w:val="auto"/>
              </w:rPr>
            </w:pPr>
          </w:p>
        </w:tc>
      </w:tr>
      <w:tr>
        <w:trPr>
          <w:trHeight w:val="360"/>
        </w:trPr>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Valuation Disruption:</w:t>
            </w: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Equity Definitions is hereby amended by replacing the words “at any time</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during the one-hour period that ends at the relevant Valuation Time, Latest</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Exercise Time, Knock-in Valuation Time or Knock-out Valuation Time, as</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case may be” with “at any time on any Scheduled Trading Day during</w:t>
            </w: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Calculation Period or Settlement Valuation Period” in the third line</w:t>
            </w:r>
          </w:p>
        </w:tc>
      </w:t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thereof.</w:t>
            </w:r>
          </w:p>
        </w:tc>
      </w:tr>
      <w:tr>
        <w:trPr>
          <w:trHeight w:val="441"/>
        </w:trPr>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w:t>
            </w:r>
          </w:p>
        </w:tc>
      </w:tr>
      <w:tr>
        <w:trPr>
          <w:trHeight w:val="203"/>
        </w:trPr>
        <w:tc>
          <w:tcPr>
            <w:tcW w:w="1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800" w:type="dxa"/>
            <w:vAlign w:val="bottom"/>
            <w:gridSpan w:val="5"/>
          </w:tcPr>
          <w:p>
            <w:pPr>
              <w:ind w:left="400"/>
              <w:spacing w:after="0" w:line="202" w:lineRule="exact"/>
              <w:rPr>
                <w:sz w:val="20"/>
                <w:szCs w:val="20"/>
                <w:color w:val="auto"/>
              </w:rPr>
            </w:pPr>
            <w:r>
              <w:rPr>
                <w:rFonts w:ascii="Times New Roman" w:cs="Times New Roman" w:eastAsia="Times New Roman" w:hAnsi="Times New Roman"/>
                <w:sz w:val="18"/>
                <w:szCs w:val="18"/>
                <w:color w:val="auto"/>
              </w:rPr>
              <w:t>remainder of the provision following the term</w:t>
            </w:r>
          </w:p>
        </w:tc>
      </w:tr>
      <w:tr>
        <w:trPr>
          <w:trHeight w:val="234"/>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“Scheduled Closing Time” in the fourth line thereof.</w:t>
            </w:r>
          </w:p>
        </w:tc>
      </w:tr>
      <w:tr>
        <w:trPr>
          <w:trHeight w:val="972"/>
        </w:trPr>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9419"/>
          </w:cols>
          <w:pgMar w:left="1040" w:top="1440"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Terms: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Settlement Method:</w:t>
      </w:r>
    </w:p>
    <w:p>
      <w:pPr>
        <w:spacing w:after="0" w:line="20" w:lineRule="exact"/>
        <w:rPr>
          <w:sz w:val="20"/>
          <w:szCs w:val="20"/>
          <w:color w:val="auto"/>
        </w:rPr>
      </w:pPr>
      <w:r>
        <w:rPr>
          <w:sz w:val="20"/>
          <w:szCs w:val="20"/>
          <w:color w:val="auto"/>
        </w:rPr>
        <w:br w:type="column"/>
      </w:r>
    </w:p>
    <w:p>
      <w:pPr>
        <w:ind w:right="99" w:firstLine="45"/>
        <w:spacing w:after="0" w:line="296" w:lineRule="auto"/>
        <w:rPr>
          <w:sz w:val="20"/>
          <w:szCs w:val="20"/>
          <w:color w:val="auto"/>
        </w:rPr>
      </w:pPr>
      <w:r>
        <w:rPr>
          <w:rFonts w:ascii="Times New Roman" w:cs="Times New Roman" w:eastAsia="Times New Roman" w:hAnsi="Times New Roman"/>
          <w:sz w:val="17"/>
          <w:szCs w:val="17"/>
          <w:color w:val="auto"/>
        </w:rPr>
        <w:t>Notwithstanding anything to the contrary in the Equity Definitions, if a Disrupted Day occurs in the Calculation Period or Settlement Valuation Period, Wells Fargo may elect to extend the Calculation Period or Settlement Valuation Period, as the case may be, by a number of Scheduled Trading Days equal to the number of Disrupted Days during the Calculation Period or Settlement Valuation Period, as applicable. If any such Disrupted Day is a Disrupted Day because of a Market Disruption Event (or a deemed Market Disruption Event as provided herein), Wells Fargo shall determine whether (i) such Disrupted Day is a Disrupted Day in full, in which case the VWAP Price for such Disrupted Day shall not be included for purposes of determining the Forward Price or the Cash Settlement Price, as the case may be, or (ii) such Disrupted Day is a Disrupted Day only in part, in which case the Calculation Agent shall (x) determine the VWAP Price for such Disrupted Day based on trades that are reported during the period of time during which Counterparty could purchase its own shares under Rule 10b-18(b)(2) and are effected pursuant to the conditions of Rule 10b-18(b)</w:t>
      </w:r>
    </w:p>
    <w:p>
      <w:pPr>
        <w:spacing w:after="0" w:line="2" w:lineRule="exact"/>
        <w:rPr>
          <w:sz w:val="20"/>
          <w:szCs w:val="20"/>
          <w:color w:val="auto"/>
        </w:rPr>
      </w:pPr>
    </w:p>
    <w:p>
      <w:pPr>
        <w:ind w:right="59"/>
        <w:spacing w:after="0" w:line="284" w:lineRule="auto"/>
        <w:rPr>
          <w:sz w:val="20"/>
          <w:szCs w:val="20"/>
          <w:color w:val="auto"/>
        </w:rPr>
      </w:pPr>
      <w:r>
        <w:rPr>
          <w:rFonts w:ascii="Times New Roman" w:cs="Times New Roman" w:eastAsia="Times New Roman" w:hAnsi="Times New Roman"/>
          <w:sz w:val="18"/>
          <w:szCs w:val="18"/>
          <w:color w:val="auto"/>
        </w:rPr>
        <w:t>(3), each under the Securities Exchange Act of 1934, as amended (the “Exchange Act”), on such Disrupted Day taking into account the nature and duration of such Market Disruption Event and (y) determine the Forward Price or Cash Settlement Price, as the case may be, based on an appropriately weighted average instead of an arithmetic average, with such adjustments based on the duration of any Market Disruption Event and the volume, historical trading patterns and price of the Shares.</w:t>
      </w:r>
    </w:p>
    <w:p>
      <w:pPr>
        <w:spacing w:after="0" w:line="364" w:lineRule="exact"/>
        <w:rPr>
          <w:sz w:val="20"/>
          <w:szCs w:val="20"/>
          <w:color w:val="auto"/>
        </w:rPr>
      </w:pPr>
    </w:p>
    <w:p>
      <w:pPr>
        <w:jc w:val="both"/>
        <w:ind w:right="39"/>
        <w:spacing w:after="0" w:line="258" w:lineRule="auto"/>
        <w:rPr>
          <w:sz w:val="20"/>
          <w:szCs w:val="20"/>
          <w:color w:val="auto"/>
        </w:rPr>
      </w:pPr>
      <w:r>
        <w:rPr>
          <w:rFonts w:ascii="Times New Roman" w:cs="Times New Roman" w:eastAsia="Times New Roman" w:hAnsi="Times New Roman"/>
          <w:sz w:val="18"/>
          <w:szCs w:val="18"/>
          <w:color w:val="auto"/>
        </w:rPr>
        <w:t>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210" w:lineRule="exact"/>
        <w:rPr>
          <w:sz w:val="20"/>
          <w:szCs w:val="20"/>
          <w:color w:val="auto"/>
        </w:rPr>
      </w:pPr>
    </w:p>
    <w:p>
      <w:pPr>
        <w:jc w:val="both"/>
        <w:ind w:right="39"/>
        <w:spacing w:after="0" w:line="253" w:lineRule="auto"/>
        <w:rPr>
          <w:sz w:val="20"/>
          <w:szCs w:val="20"/>
          <w:color w:val="auto"/>
        </w:rPr>
      </w:pPr>
      <w:r>
        <w:rPr>
          <w:rFonts w:ascii="Times New Roman" w:cs="Times New Roman" w:eastAsia="Times New Roman" w:hAnsi="Times New Roman"/>
          <w:sz w:val="18"/>
          <w:szCs w:val="18"/>
          <w:color w:val="auto"/>
        </w:rPr>
        <w:t>If a Disrupted Day occurs during the Calculation Period or Settlement Valuation Period, and each of the nine immediately following Scheduled Trading Days is a Disrupted Day (a “</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then the Calculation Agent, in its good faith and commercially reasonable discretion, may deem such Disruption Event (and each consecutive Disrupted Day thereafter) to be either (x) a Potential Adjustment Event in respect of the Transaction or</w:t>
      </w:r>
    </w:p>
    <w:p>
      <w:pPr>
        <w:spacing w:after="0" w:line="5" w:lineRule="exact"/>
        <w:rPr>
          <w:sz w:val="20"/>
          <w:szCs w:val="20"/>
          <w:color w:val="auto"/>
        </w:rPr>
      </w:pPr>
    </w:p>
    <w:p>
      <w:pPr>
        <w:jc w:val="both"/>
        <w:ind w:right="39" w:firstLine="7"/>
        <w:spacing w:after="0" w:line="255"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Termination Event in respect of the Transaction, with Counterparty as the sole Affected Party and the Transaction as the sole Affected Transaction.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Number of Shares to be Delivered is positive, Physical</w:t>
      </w:r>
    </w:p>
    <w:p>
      <w:pPr>
        <w:spacing w:after="0" w:line="27" w:lineRule="exact"/>
        <w:rPr>
          <w:sz w:val="20"/>
          <w:szCs w:val="20"/>
          <w:color w:val="auto"/>
        </w:rPr>
      </w:pPr>
    </w:p>
    <w:p>
      <w:pPr>
        <w:ind w:right="199"/>
        <w:spacing w:after="0" w:line="245" w:lineRule="auto"/>
        <w:rPr>
          <w:sz w:val="20"/>
          <w:szCs w:val="20"/>
          <w:color w:val="auto"/>
        </w:rPr>
      </w:pPr>
      <w:r>
        <w:rPr>
          <w:rFonts w:ascii="Times New Roman" w:cs="Times New Roman" w:eastAsia="Times New Roman" w:hAnsi="Times New Roman"/>
          <w:sz w:val="18"/>
          <w:szCs w:val="18"/>
          <w:color w:val="auto"/>
        </w:rPr>
        <w:t>Settlement shall be applicable to the Transaction. If the Number of Shares to be Delivered is negative, then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780" w:space="720"/>
            <w:col w:w="5919"/>
          </w:cols>
          <w:pgMar w:left="1040" w:top="1066"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Excess Dividend Amount:</w:t>
      </w: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Adjustments: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Potential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Excess Dividend: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Extraordinary Dividend:</w:t>
      </w:r>
    </w:p>
    <w:p>
      <w:pPr>
        <w:spacing w:after="0" w:line="20" w:lineRule="exact"/>
        <w:rPr>
          <w:sz w:val="20"/>
          <w:szCs w:val="20"/>
          <w:color w:val="auto"/>
        </w:rPr>
      </w:pPr>
      <w:r>
        <w:rPr>
          <w:sz w:val="20"/>
          <w:szCs w:val="20"/>
          <w:color w:val="auto"/>
        </w:rPr>
        <w:br w:type="column"/>
      </w:r>
    </w:p>
    <w:p>
      <w:pPr>
        <w:ind w:left="5" w:right="579"/>
        <w:spacing w:after="0" w:line="313" w:lineRule="auto"/>
        <w:rPr>
          <w:sz w:val="20"/>
          <w:szCs w:val="20"/>
          <w:color w:val="auto"/>
        </w:rPr>
      </w:pPr>
      <w:r>
        <w:rPr>
          <w:rFonts w:ascii="Times New Roman" w:cs="Times New Roman" w:eastAsia="Times New Roman" w:hAnsi="Times New Roman"/>
          <w:sz w:val="18"/>
          <w:szCs w:val="18"/>
          <w:color w:val="auto"/>
        </w:rPr>
        <w:t>Counterparty Settlement Provisions in Annex A hereto shall apply to the Transaction.</w:t>
      </w:r>
    </w:p>
    <w:p>
      <w:pPr>
        <w:spacing w:after="0" w:line="122" w:lineRule="exact"/>
        <w:rPr>
          <w:sz w:val="20"/>
          <w:szCs w:val="20"/>
          <w:color w:val="auto"/>
        </w:rPr>
      </w:pPr>
    </w:p>
    <w:p>
      <w:pPr>
        <w:ind w:left="5" w:right="579"/>
        <w:spacing w:after="0" w:line="261" w:lineRule="auto"/>
        <w:rPr>
          <w:sz w:val="20"/>
          <w:szCs w:val="20"/>
          <w:color w:val="auto"/>
        </w:rPr>
      </w:pPr>
      <w:r>
        <w:rPr>
          <w:rFonts w:ascii="Times New Roman" w:cs="Times New Roman" w:eastAsia="Times New Roman" w:hAnsi="Times New Roman"/>
          <w:sz w:val="18"/>
          <w:szCs w:val="18"/>
          <w:color w:val="auto"/>
        </w:rPr>
        <w:t xml:space="preserve">A number of Shares (rounded down to the nearest whole number) equal to (a) (i) the Prepayment Amount </w:t>
      </w:r>
      <w:r>
        <w:rPr>
          <w:rFonts w:ascii="Times New Roman" w:cs="Times New Roman" w:eastAsia="Times New Roman" w:hAnsi="Times New Roman"/>
          <w:sz w:val="18"/>
          <w:szCs w:val="18"/>
          <w:u w:val="single" w:color="auto"/>
          <w:color w:val="auto"/>
        </w:rPr>
        <w:t>divided by</w:t>
      </w:r>
    </w:p>
    <w:p>
      <w:pPr>
        <w:ind w:left="5" w:right="599" w:hanging="5"/>
        <w:spacing w:after="0" w:line="260" w:lineRule="auto"/>
        <w:tabs>
          <w:tab w:leader="none" w:pos="2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(1) the Forward Price as determined on the relevant Valuation Date and (2) USD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Initial Shares.</w:t>
      </w:r>
    </w:p>
    <w:p>
      <w:pPr>
        <w:spacing w:after="0" w:line="127" w:lineRule="exact"/>
        <w:rPr>
          <w:sz w:val="20"/>
          <w:szCs w:val="20"/>
          <w:color w:val="auto"/>
        </w:rPr>
      </w:pPr>
    </w:p>
    <w:p>
      <w:pPr>
        <w:jc w:val="both"/>
        <w:ind w:left="5" w:right="579"/>
        <w:spacing w:after="0" w:line="282" w:lineRule="auto"/>
        <w:rPr>
          <w:sz w:val="20"/>
          <w:szCs w:val="20"/>
          <w:color w:val="auto"/>
        </w:rPr>
      </w:pPr>
      <w:r>
        <w:rPr>
          <w:rFonts w:ascii="Times New Roman" w:cs="Times New Roman" w:eastAsia="Times New Roman" w:hAnsi="Times New Roman"/>
          <w:sz w:val="18"/>
          <w:szCs w:val="18"/>
          <w:color w:val="auto"/>
        </w:rPr>
        <w:t>For the avoidance of doubt, all references to the Excess Dividend Amount shall be deleted from Section 9.2(a)(iii) of the Equity Definitions.</w:t>
      </w:r>
    </w:p>
    <w:p>
      <w:pPr>
        <w:spacing w:after="0" w:line="108" w:lineRule="exact"/>
        <w:rPr>
          <w:sz w:val="20"/>
          <w:szCs w:val="20"/>
          <w:color w:val="auto"/>
        </w:rPr>
      </w:pPr>
    </w:p>
    <w:p>
      <w:pPr>
        <w:jc w:val="both"/>
        <w:ind w:left="5" w:right="599"/>
        <w:spacing w:after="0" w:line="258" w:lineRule="auto"/>
        <w:rPr>
          <w:sz w:val="20"/>
          <w:szCs w:val="20"/>
          <w:color w:val="auto"/>
        </w:rPr>
      </w:pPr>
      <w:r>
        <w:rPr>
          <w:rFonts w:ascii="Times New Roman" w:cs="Times New Roman" w:eastAsia="Times New Roman" w:hAnsi="Times New Roman"/>
          <w:sz w:val="18"/>
          <w:szCs w:val="18"/>
          <w:color w:val="auto"/>
        </w:rPr>
        <w:t>The date that is one Settlement Cycle immediately following the relevant Valuation Date, provided that with respect to any Accelerated Valuation Date, the Settlement Date shall be the date that is one Settlement Cycle immediately following the date on which the relevant Acceleration Notice was delivered.</w:t>
      </w:r>
    </w:p>
    <w:p>
      <w:pPr>
        <w:spacing w:after="0" w:line="129" w:lineRule="exact"/>
        <w:rPr>
          <w:sz w:val="20"/>
          <w:szCs w:val="20"/>
          <w:color w:val="auto"/>
        </w:rPr>
      </w:pPr>
    </w:p>
    <w:p>
      <w:pPr>
        <w:jc w:val="both"/>
        <w:ind w:left="5" w:right="599"/>
        <w:spacing w:after="0" w:line="258" w:lineRule="auto"/>
        <w:rPr>
          <w:sz w:val="20"/>
          <w:szCs w:val="20"/>
          <w:color w:val="auto"/>
        </w:rPr>
      </w:pPr>
      <w:r>
        <w:rPr>
          <w:rFonts w:ascii="Times New Roman" w:cs="Times New Roman" w:eastAsia="Times New Roman" w:hAnsi="Times New Roman"/>
          <w:sz w:val="18"/>
          <w:szCs w:val="18"/>
          <w:color w:val="auto"/>
        </w:rPr>
        <w:t>Wells Fargo does not, and shall not, make the agreement or the representations set forth in Section 9.11 of the Equity Definitions related to the restrictions imposed by applicable securities laws with respect to any Shares delivered by Wells Fargo to Counterparty under the Transaction.</w:t>
      </w:r>
    </w:p>
    <w:p>
      <w:pPr>
        <w:spacing w:after="0" w:line="200" w:lineRule="exact"/>
        <w:rPr>
          <w:sz w:val="20"/>
          <w:szCs w:val="20"/>
          <w:color w:val="auto"/>
        </w:rPr>
      </w:pPr>
    </w:p>
    <w:p>
      <w:pPr>
        <w:spacing w:after="0" w:line="307" w:lineRule="exact"/>
        <w:rPr>
          <w:sz w:val="20"/>
          <w:szCs w:val="20"/>
          <w:color w:val="auto"/>
        </w:rPr>
      </w:pPr>
    </w:p>
    <w:p>
      <w:pPr>
        <w:jc w:val="both"/>
        <w:ind w:left="5" w:right="599"/>
        <w:spacing w:after="0" w:line="266" w:lineRule="auto"/>
        <w:rPr>
          <w:sz w:val="20"/>
          <w:szCs w:val="20"/>
          <w:color w:val="auto"/>
        </w:rPr>
      </w:pPr>
      <w:r>
        <w:rPr>
          <w:rFonts w:ascii="Times New Roman" w:cs="Times New Roman" w:eastAsia="Times New Roman" w:hAnsi="Times New Roman"/>
          <w:sz w:val="18"/>
          <w:szCs w:val="18"/>
          <w:color w:val="auto"/>
        </w:rPr>
        <w:t>It shall constitute an additional Potential Adjustment Event if the Scheduled Valuation Date for any Transaction is postponed pursuant to “Valuation Disruption” above.</w:t>
      </w:r>
    </w:p>
    <w:p>
      <w:pPr>
        <w:spacing w:after="0" w:line="203" w:lineRule="exact"/>
        <w:rPr>
          <w:sz w:val="20"/>
          <w:szCs w:val="20"/>
          <w:color w:val="auto"/>
        </w:rPr>
      </w:pPr>
    </w:p>
    <w:p>
      <w:pPr>
        <w:jc w:val="both"/>
        <w:ind w:left="5" w:right="599"/>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Section 11.2(e) of the Equity Definitions, neither an Extraordinary Dividend nor the issuance of additional stock options, restricted stock or restricted stock units in the ordinary course pursuant to Counterparty's employee equity incentive plan or dividend reinvestment plan shall constitute a Potential Adjustment Event.</w:t>
      </w:r>
    </w:p>
    <w:p>
      <w:pPr>
        <w:spacing w:after="0" w:line="13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Calculation Agent Adjustment</w:t>
      </w:r>
    </w:p>
    <w:p>
      <w:pPr>
        <w:spacing w:after="0" w:line="171" w:lineRule="exact"/>
        <w:rPr>
          <w:sz w:val="20"/>
          <w:szCs w:val="20"/>
          <w:color w:val="auto"/>
        </w:rPr>
      </w:pPr>
    </w:p>
    <w:p>
      <w:pPr>
        <w:jc w:val="both"/>
        <w:ind w:left="5" w:right="599"/>
        <w:spacing w:after="0" w:line="266" w:lineRule="auto"/>
        <w:rPr>
          <w:sz w:val="20"/>
          <w:szCs w:val="20"/>
          <w:color w:val="auto"/>
        </w:rPr>
      </w:pPr>
      <w:r>
        <w:rPr>
          <w:rFonts w:ascii="Times New Roman" w:cs="Times New Roman" w:eastAsia="Times New Roman" w:hAnsi="Times New Roman"/>
          <w:sz w:val="18"/>
          <w:szCs w:val="18"/>
          <w:color w:val="auto"/>
        </w:rPr>
        <w:t>Any dividend or distribution on the Shares (other than any dividend or distribution of the type described in Section 11.2(e)(i) or Section 11.2(e) (ii)(A) of the Equity Definitions or any Extraordinary Dividend).</w:t>
      </w:r>
    </w:p>
    <w:p>
      <w:pPr>
        <w:spacing w:after="0" w:line="122" w:lineRule="exact"/>
        <w:rPr>
          <w:sz w:val="20"/>
          <w:szCs w:val="20"/>
          <w:color w:val="auto"/>
        </w:rPr>
      </w:pPr>
    </w:p>
    <w:p>
      <w:pPr>
        <w:ind w:left="5" w:right="599"/>
        <w:spacing w:after="0" w:line="254" w:lineRule="auto"/>
        <w:rPr>
          <w:sz w:val="20"/>
          <w:szCs w:val="20"/>
          <w:color w:val="auto"/>
        </w:rPr>
      </w:pPr>
      <w:r>
        <w:rPr>
          <w:rFonts w:ascii="Times New Roman" w:cs="Times New Roman" w:eastAsia="Times New Roman" w:hAnsi="Times New Roman"/>
          <w:sz w:val="18"/>
          <w:szCs w:val="18"/>
          <w:color w:val="auto"/>
        </w:rPr>
        <w:t>The cash dividend or distribution per Share, or a portion thereof, declared by Counterparty on the Shares that is classified by the board of directors of Counterparty as an “extraordinary” dividend. For the avoidance of doubt, an Extraordinary Dividend shall not be deemed to be an Excess Dividend.</w:t>
      </w:r>
    </w:p>
    <w:p>
      <w:pPr>
        <w:spacing w:after="0" w:line="200" w:lineRule="exact"/>
        <w:rPr>
          <w:sz w:val="20"/>
          <w:szCs w:val="20"/>
          <w:color w:val="auto"/>
        </w:rPr>
      </w:pPr>
    </w:p>
    <w:p>
      <w:pPr>
        <w:spacing w:after="0" w:line="352" w:lineRule="exact"/>
        <w:rPr>
          <w:sz w:val="20"/>
          <w:szCs w:val="20"/>
          <w:color w:val="auto"/>
        </w:rPr>
      </w:pPr>
    </w:p>
    <w:p>
      <w:pPr>
        <w:ind w:left="136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3160" w:space="335"/>
            <w:col w:w="5924"/>
          </w:cols>
          <w:pgMar w:left="1040" w:top="1066"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9"/>
        </w:trPr>
        <w:tc>
          <w:tcPr>
            <w:tcW w:w="3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Relevant Dividend Period:</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period from and including the Trade Date to and including the</w:t>
            </w:r>
          </w:p>
        </w:tc>
      </w:tr>
      <w:tr>
        <w:trPr>
          <w:trHeight w:val="234"/>
        </w:trPr>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Relevant Dividend Period End Date.</w:t>
            </w:r>
          </w:p>
        </w:tc>
      </w:tr>
      <w:tr>
        <w:trPr>
          <w:trHeight w:val="346"/>
        </w:trPr>
        <w:tc>
          <w:tcPr>
            <w:tcW w:w="3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Relevant Dividend Period End</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the Number of Shares to be Delivered is negative, the last day of the</w:t>
            </w:r>
          </w:p>
        </w:tc>
      </w:tr>
      <w:tr>
        <w:trPr>
          <w:trHeight w:val="216"/>
        </w:trPr>
        <w:tc>
          <w:tcPr>
            <w:tcW w:w="3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Date:</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Valuation Period (as defined in Annex A) (if any); otherwise,</w:t>
            </w:r>
          </w:p>
        </w:tc>
      </w:tr>
      <w:tr>
        <w:trPr>
          <w:trHeight w:val="234"/>
        </w:trPr>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final Valuation Date.</w:t>
            </w:r>
          </w:p>
        </w:tc>
      </w:tr>
      <w:tr>
        <w:trPr>
          <w:trHeight w:val="3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5500" w:type="dxa"/>
            <w:vAlign w:val="bottom"/>
          </w:tcPr>
          <w:p>
            <w:pPr>
              <w:spacing w:after="0"/>
              <w:rPr>
                <w:sz w:val="24"/>
                <w:szCs w:val="24"/>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380"/>
        </w:trPr>
        <w:tc>
          <w:tcPr>
            <w:tcW w:w="3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Alternative Termination</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that (a) an Early Termination Date (whether as a result of an</w:t>
            </w:r>
          </w:p>
        </w:tc>
      </w:tr>
      <w:tr>
        <w:trPr>
          <w:trHeight w:val="216"/>
        </w:trPr>
        <w:tc>
          <w:tcPr>
            <w:tcW w:w="3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Settlement:</w:t>
            </w: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 of Default or a Termination Event) occurs or is designated with</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 to any Transaction or (b) any Transaction is cancelled or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terminated upon the occurrence of an Extraordinary Event (except as a</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 of (i) a Nationalization, Insolvency or Merger Event in which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consideration to be paid to all holders of Shares consists solely of cash,</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 a Merger Event or Tender Offer that is within Counterparty’s control,</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(iii) an Event of Default in which Counterparty is the Defaulting Party</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 Termination Event in which Counterparty is the Affected Party other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than an Event of Default of the type described in Section 5(a)(iii), (v),</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 (vii) or (viii) of the Master Agreement or a Termination Event of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type described in Section 5(b) of the Master Agreement, in each case that</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resulted from an event or events outside Counterparty’s control), if either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party would owe any amount to the other party pursuant to Section 6(d)</w:t>
            </w:r>
          </w:p>
        </w:tc>
      </w:tr>
      <w:tr>
        <w:trPr>
          <w:trHeight w:val="212"/>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 of the Master Agreement or any Cancellation Amount pursuant to</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Article 12 of the Equity Definitions (any such amount, a “</w:t>
            </w:r>
            <w:r>
              <w:rPr>
                <w:rFonts w:ascii="Times New Roman" w:cs="Times New Roman" w:eastAsia="Times New Roman" w:hAnsi="Times New Roman"/>
                <w:sz w:val="18"/>
                <w:szCs w:val="18"/>
                <w:b w:val="1"/>
                <w:bCs w:val="1"/>
                <w:color w:val="auto"/>
              </w:rPr>
              <w:t>Payment</w:t>
            </w:r>
          </w:p>
        </w:tc>
      </w:tr>
      <w:tr>
        <w:trPr>
          <w:trHeight w:val="220"/>
        </w:trPr>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then, in lieu of any payment of such Payment Amount, unless</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Counterparty makes an election to the contrary no later than the Early</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Date or the date on which such Transaction is terminated or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 Counterparty or Dealer, as the case may be, shall deliver to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party a number of Shares (or, in the case of a Nationalization,</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Insolvency or Merger Event, a number of units, each comprising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or amount of the securities or property that a hypothetical holder</w:t>
            </w:r>
          </w:p>
        </w:tc>
      </w:tr>
      <w:tr>
        <w:trPr>
          <w:trHeight w:val="212"/>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of one Share would receive in such Nationalization, Insolvency or Merger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 as the case may be (each such unit, an “</w:t>
            </w:r>
            <w:r>
              <w:rPr>
                <w:rFonts w:ascii="Times New Roman" w:cs="Times New Roman" w:eastAsia="Times New Roman" w:hAnsi="Times New Roman"/>
                <w:sz w:val="18"/>
                <w:szCs w:val="18"/>
                <w:b w:val="1"/>
                <w:bCs w:val="1"/>
                <w:color w:val="auto"/>
              </w:rPr>
              <w:t>Alternative Delivery</w:t>
            </w:r>
          </w:p>
        </w:tc>
      </w:tr>
      <w:tr>
        <w:trPr>
          <w:trHeight w:val="220"/>
        </w:trPr>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with a value equal to the Payment Amount, as determined by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 Agent over a commercially reasonable period of time (and</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parties agree that, in making such determination of value,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 Agent may take into account a number of factors, including,</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without limitation, the market price of the Shares or Alternative Delivery</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on the Early Termination Date or the date of early cancellation or</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as the case may be, and, if such delivery is made by Dealer,</w:t>
            </w:r>
          </w:p>
        </w:tc>
      </w:tr>
      <w:tr>
        <w:trPr>
          <w:trHeight w:val="214"/>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prices at which Dealer purchases Shares or Alternative Delivery Units</w:t>
            </w:r>
          </w:p>
        </w:tc>
      </w:tr>
      <w:tr>
        <w:trPr>
          <w:trHeight w:val="218"/>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to fulfill its delivery obligations under this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tc>
      </w:tr>
      <w:tr>
        <w:trPr>
          <w:trHeight w:val="214"/>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prices of Dealer reflect the prevailing market prices of the</w:t>
            </w:r>
          </w:p>
        </w:tc>
      </w:tr>
      <w:tr>
        <w:trPr>
          <w:trHeight w:val="218"/>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Shares or Alternative Delivery Unit,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determining the composition of any Alternative Delivery Unit, if the</w:t>
            </w:r>
          </w:p>
        </w:tc>
      </w:tr>
      <w:tr>
        <w:trPr>
          <w:trHeight w:val="216"/>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relevant Nationalization, Insolvency or Merger Event involves a choice of</w:t>
            </w:r>
          </w:p>
        </w:tc>
      </w:tr>
      <w:tr>
        <w:trPr>
          <w:trHeight w:val="234"/>
        </w:trPr>
        <w:tc>
          <w:tcPr>
            <w:tcW w:w="1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consideration to be received by holders, such holder shall be</w:t>
            </w:r>
          </w:p>
        </w:tc>
      </w:tr>
      <w:tr>
        <w:trPr>
          <w:trHeight w:val="756"/>
        </w:trPr>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9099"/>
          </w:cols>
          <w:pgMar w:left="1360" w:top="1026"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right="40"/>
        <w:spacing w:after="0" w:line="282" w:lineRule="auto"/>
        <w:rPr>
          <w:sz w:val="20"/>
          <w:szCs w:val="20"/>
          <w:color w:val="auto"/>
        </w:rPr>
      </w:pPr>
      <w:r>
        <w:rPr>
          <w:rFonts w:ascii="Times New Roman" w:cs="Times New Roman" w:eastAsia="Times New Roman" w:hAnsi="Times New Roman"/>
          <w:sz w:val="18"/>
          <w:szCs w:val="18"/>
          <w:color w:val="auto"/>
        </w:rPr>
        <w:t>Acknowledgment Regarding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u w:val="single" w:color="auto"/>
          <w:color w:val="auto"/>
        </w:rPr>
        <w:t>Consequences of Merger Events: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Share-for-Share: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Share-for-Other:</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 Combined: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u w:val="single" w:color="auto"/>
          <w:color w:val="auto"/>
        </w:rPr>
        <w:t>Consequences of Tender Offers: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Share-for-Share:</w:t>
      </w: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Share-for-Other:</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ind w:right="719"/>
        <w:spacing w:after="0" w:line="281" w:lineRule="auto"/>
        <w:rPr>
          <w:sz w:val="20"/>
          <w:szCs w:val="20"/>
          <w:color w:val="auto"/>
        </w:rPr>
      </w:pPr>
      <w:r>
        <w:rPr>
          <w:rFonts w:ascii="Times New Roman" w:cs="Times New Roman" w:eastAsia="Times New Roman" w:hAnsi="Times New Roman"/>
          <w:sz w:val="18"/>
          <w:szCs w:val="18"/>
          <w:color w:val="auto"/>
        </w:rPr>
        <w:t>deemed to have elected to receive the maximum possible amount of cash; and provided further that Counterparty may elect that the delivery of Shares or Alternative Delivery Units, as the case may be, as provided for herein shall not apply only if Counterparty represents and warrants to Dealer, in writing on the date it notifies Dealer of such election, that, as of such date, Counterparty is not aware of any material non-public information regarding Counterparty or the Shares and is making such election in good faith and not as part of a plan or scheme to evade compliance with the federal securities laws. If delivery of Shares or Alternative Delivery Units, as the case may be, pursuant to this provision is to be made by Counterparty, paragraphs 2 through 7 of Annex A hereto shall apply as if (A) such delivery were a settlement of such Transaction to which Net Share Settlement applied, (B) the Cash Settlement Payment Date were the Early Termination Date or the date of early cancellation or termination, as the case may be, and (C) the Forward Cash Settlement Amount were equal to (x) zero minus (y) the Payment Amount owed by Counterparty.</w:t>
      </w:r>
    </w:p>
    <w:p>
      <w:pPr>
        <w:spacing w:after="0" w:line="160" w:lineRule="exact"/>
        <w:rPr>
          <w:sz w:val="20"/>
          <w:szCs w:val="20"/>
          <w:color w:val="auto"/>
        </w:rPr>
      </w:pPr>
    </w:p>
    <w:p>
      <w:pPr>
        <w:jc w:val="both"/>
        <w:ind w:left="60" w:right="659"/>
        <w:spacing w:after="0" w:line="256" w:lineRule="auto"/>
        <w:rPr>
          <w:sz w:val="20"/>
          <w:szCs w:val="20"/>
          <w:color w:val="auto"/>
        </w:rPr>
      </w:pPr>
      <w:r>
        <w:rPr>
          <w:rFonts w:ascii="Times New Roman" w:cs="Times New Roman" w:eastAsia="Times New Roman" w:hAnsi="Times New Roman"/>
          <w:sz w:val="18"/>
          <w:szCs w:val="18"/>
          <w:color w:val="auto"/>
        </w:rPr>
        <w:t>For the avoidance of doubt, any adjustment to the terms of the Transaction, or the determination of any amounts due upon termination of the Transaction as a result of a Merger Event or Tender Offer shall take into account, and shall not duplicate the economic effects of, any extension or other adjustment hereunder (including, without limitation, any adjustment in Section 8 below).</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Cancellation and Payment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 Adjustment</w:t>
      </w:r>
    </w:p>
    <w:p>
      <w:pPr>
        <w:spacing w:after="0" w:line="171" w:lineRule="exact"/>
        <w:rPr>
          <w:sz w:val="20"/>
          <w:szCs w:val="20"/>
          <w:color w:val="auto"/>
        </w:rPr>
      </w:pPr>
    </w:p>
    <w:p>
      <w:pPr>
        <w:jc w:val="both"/>
        <w:ind w:left="60" w:right="659"/>
        <w:spacing w:after="0" w:line="261" w:lineRule="auto"/>
        <w:rPr>
          <w:sz w:val="20"/>
          <w:szCs w:val="20"/>
          <w:color w:val="auto"/>
        </w:rPr>
      </w:pPr>
      <w:r>
        <w:rPr>
          <w:rFonts w:ascii="Times New Roman" w:cs="Times New Roman" w:eastAsia="Times New Roman" w:hAnsi="Times New Roman"/>
          <w:sz w:val="18"/>
          <w:szCs w:val="18"/>
          <w:color w:val="auto"/>
        </w:rPr>
        <w:t>Applicable; provided that Section 12.1(d) of the Equity Definitions shall be amended by replacing “10%” in the third line thereof with “25%” and “voting shares of the Issuer” in the fourth line thereof with “Shares.”</w:t>
      </w:r>
    </w:p>
    <w:p>
      <w:pPr>
        <w:spacing w:after="0" w:line="200" w:lineRule="exact"/>
        <w:rPr>
          <w:sz w:val="20"/>
          <w:szCs w:val="20"/>
          <w:color w:val="auto"/>
        </w:rPr>
      </w:pPr>
    </w:p>
    <w:p>
      <w:pPr>
        <w:spacing w:after="0" w:line="304" w:lineRule="exact"/>
        <w:rPr>
          <w:sz w:val="20"/>
          <w:szCs w:val="20"/>
          <w:color w:val="auto"/>
        </w:rPr>
      </w:pPr>
    </w:p>
    <w:p>
      <w:pPr>
        <w:jc w:val="both"/>
        <w:ind w:left="60" w:right="659"/>
        <w:spacing w:after="0" w:line="282" w:lineRule="auto"/>
        <w:rPr>
          <w:sz w:val="20"/>
          <w:szCs w:val="20"/>
          <w:color w:val="auto"/>
        </w:rPr>
      </w:pPr>
      <w:r>
        <w:rPr>
          <w:rFonts w:ascii="Times New Roman" w:cs="Times New Roman" w:eastAsia="Times New Roman" w:hAnsi="Times New Roman"/>
          <w:sz w:val="18"/>
          <w:szCs w:val="18"/>
          <w:color w:val="auto"/>
        </w:rPr>
        <w:t>Modified Calculation Agent Adjustment or Cancellation and Payment, at the commercially reasonable election of Wells Fargo.</w:t>
      </w:r>
    </w:p>
    <w:p>
      <w:pPr>
        <w:spacing w:after="0" w:line="94" w:lineRule="exact"/>
        <w:rPr>
          <w:sz w:val="20"/>
          <w:szCs w:val="20"/>
          <w:color w:val="auto"/>
        </w:rPr>
      </w:pPr>
    </w:p>
    <w:p>
      <w:pPr>
        <w:jc w:val="both"/>
        <w:ind w:left="60" w:right="659"/>
        <w:spacing w:after="0" w:line="313" w:lineRule="auto"/>
        <w:rPr>
          <w:sz w:val="20"/>
          <w:szCs w:val="20"/>
          <w:color w:val="auto"/>
        </w:rPr>
      </w:pPr>
      <w:r>
        <w:rPr>
          <w:rFonts w:ascii="Times New Roman" w:cs="Times New Roman" w:eastAsia="Times New Roman" w:hAnsi="Times New Roman"/>
          <w:sz w:val="18"/>
          <w:szCs w:val="18"/>
          <w:color w:val="auto"/>
        </w:rPr>
        <w:t>Modified Calculation Agent Adjustment or Cancellation and Payment, at the commercially reasonable election of Wells Fargo.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760" w:space="720"/>
            <w:col w:w="5939"/>
          </w:cols>
          <w:pgMar w:left="1040" w:top="1440" w:right="1440" w:bottom="1440" w:gutter="0" w:footer="0" w:header="0"/>
        </w:sectPr>
      </w:pPr>
    </w:p>
    <w:bookmarkStart w:id="53" w:name="page54"/>
    <w:bookmarkEnd w:id="53"/>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Share-for-Combined:</w:t>
      </w: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Nationalization, Insolvency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Determining Party: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Disruption Events: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Insolvency Filing:</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Loss of Stock Borrow: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Maximum Stock Loan Rate: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Increased Cost of Stock Borrow:</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839"/>
        <w:spacing w:after="0" w:line="282" w:lineRule="auto"/>
        <w:rPr>
          <w:sz w:val="20"/>
          <w:szCs w:val="20"/>
          <w:color w:val="auto"/>
        </w:rPr>
      </w:pPr>
      <w:r>
        <w:rPr>
          <w:rFonts w:ascii="Times New Roman" w:cs="Times New Roman" w:eastAsia="Times New Roman" w:hAnsi="Times New Roman"/>
          <w:sz w:val="18"/>
          <w:szCs w:val="18"/>
          <w:color w:val="auto"/>
        </w:rPr>
        <w:t>Modified Calculation Agent Adjustment or Cancellation and Payment, at the commercially reasonable election of Wells Fargo.</w:t>
      </w:r>
    </w:p>
    <w:p>
      <w:pPr>
        <w:spacing w:after="0" w:line="94" w:lineRule="exact"/>
        <w:rPr>
          <w:sz w:val="20"/>
          <w:szCs w:val="20"/>
          <w:color w:val="auto"/>
        </w:rPr>
      </w:pPr>
    </w:p>
    <w:p>
      <w:pPr>
        <w:jc w:val="both"/>
        <w:ind w:right="839"/>
        <w:spacing w:after="0" w:line="253" w:lineRule="auto"/>
        <w:rPr>
          <w:sz w:val="20"/>
          <w:szCs w:val="20"/>
          <w:color w:val="auto"/>
        </w:rPr>
      </w:pPr>
      <w:r>
        <w:rPr>
          <w:rFonts w:ascii="Times New Roman" w:cs="Times New Roman" w:eastAsia="Times New Roman" w:hAnsi="Times New Roman"/>
          <w:sz w:val="18"/>
          <w:szCs w:val="18"/>
          <w:color w:val="auto"/>
        </w:rPr>
        <w:t>Cancellation and Payment In addition to the provisions of Section 12.6(a)(iii) of the Equity Definitions, it shall also constitute a Delisting if the Exchange is located in the United States and the Shares are not immediately re-listed, re-traded or re-quoted on any of the New York Stock Exchange, NYSE American, The NASDAQ Global Select Market, The NASDAQ Global Market or The NASDAQ Capital Market (or their respective successors); if the Shares are immediately re-listed, re-traded or re-quoted on any such exchange or quotation system, such exchange or quotation system shall thereafter be the Exchange.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Extraordinary Events, Wells Fargo</w:t>
      </w:r>
    </w:p>
    <w:p>
      <w:pPr>
        <w:spacing w:after="0" w:line="200" w:lineRule="exact"/>
        <w:rPr>
          <w:sz w:val="20"/>
          <w:szCs w:val="20"/>
          <w:color w:val="auto"/>
        </w:rPr>
      </w:pPr>
    </w:p>
    <w:p>
      <w:pPr>
        <w:spacing w:after="0" w:line="349" w:lineRule="exact"/>
        <w:rPr>
          <w:sz w:val="20"/>
          <w:szCs w:val="20"/>
          <w:color w:val="auto"/>
        </w:rPr>
      </w:pPr>
    </w:p>
    <w:p>
      <w:pPr>
        <w:jc w:val="both"/>
        <w:ind w:right="839"/>
        <w:spacing w:after="0" w:line="252"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Positions” and (iii) immediately following the word “Transaction” in clause (X) thereof, adding the phrase “in the manner contemplated by the Hedging Party on the Trade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79" w:lineRule="exact"/>
        <w:rPr>
          <w:sz w:val="20"/>
          <w:szCs w:val="20"/>
          <w:color w:val="auto"/>
        </w:rPr>
      </w:pPr>
    </w:p>
    <w:p>
      <w:pPr>
        <w:jc w:val="both"/>
        <w:ind w:right="839"/>
        <w:spacing w:after="0" w:line="261" w:lineRule="auto"/>
        <w:rPr>
          <w:sz w:val="20"/>
          <w:szCs w:val="20"/>
          <w:color w:val="auto"/>
        </w:rPr>
      </w:pPr>
      <w:r>
        <w:rPr>
          <w:rFonts w:ascii="Times New Roman" w:cs="Times New Roman" w:eastAsia="Times New Roman" w:hAnsi="Times New Roman"/>
          <w:sz w:val="18"/>
          <w:szCs w:val="18"/>
          <w:color w:val="auto"/>
        </w:rPr>
        <w:t>Applicable, it being understood that the rate to borrow Shares shall be determined by reference to the terms of a commercially reasonable share borrowing arrangement and without regard to the Hedging Party’s cost of funding in connection with such borrowings.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Appendix A.</w:t>
      </w:r>
    </w:p>
    <w:p>
      <w:pPr>
        <w:spacing w:after="0" w:line="171" w:lineRule="exact"/>
        <w:rPr>
          <w:sz w:val="20"/>
          <w:szCs w:val="20"/>
          <w:color w:val="auto"/>
        </w:rPr>
      </w:pPr>
    </w:p>
    <w:p>
      <w:pPr>
        <w:jc w:val="both"/>
        <w:ind w:right="839"/>
        <w:spacing w:after="0" w:line="297" w:lineRule="auto"/>
        <w:rPr>
          <w:sz w:val="20"/>
          <w:szCs w:val="20"/>
          <w:color w:val="auto"/>
        </w:rPr>
      </w:pPr>
      <w:r>
        <w:rPr>
          <w:rFonts w:ascii="Times New Roman" w:cs="Times New Roman" w:eastAsia="Times New Roman" w:hAnsi="Times New Roman"/>
          <w:sz w:val="18"/>
          <w:szCs w:val="18"/>
          <w:color w:val="auto"/>
        </w:rPr>
        <w:t>Applicable, it being understood that the rate to borrow Shares shall be determined by reference to the terms of a commercially reasonable share borrowing arrangement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3000" w:space="540"/>
            <w:col w:w="5879"/>
          </w:cols>
          <w:pgMar w:left="1040" w:top="1440" w:right="1440" w:bottom="1440" w:gutter="0" w:footer="0" w:header="0"/>
        </w:sectPr>
      </w:pPr>
    </w:p>
    <w:bookmarkStart w:id="54" w:name="page55"/>
    <w:bookmarkEnd w:id="54"/>
    <w:p>
      <w:pPr>
        <w:spacing w:after="0" w:line="113" w:lineRule="exact"/>
        <w:rPr>
          <w:sz w:val="20"/>
          <w:szCs w:val="20"/>
          <w:color w:val="auto"/>
        </w:rPr>
      </w:pPr>
    </w:p>
    <w:tbl>
      <w:tblPr>
        <w:tblLayout w:type="fixed"/>
        <w:tblInd w:w="307"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regard to the Hedging Party’s cost of funding in connection</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 such borrowings.</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Initial Stock Loan Rate:</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specified in Appendix A.</w:t>
            </w: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Hedging Party:</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all Additional Disruption Events, Wells Fargo or any affiliate of</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Wells Fargo</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Determining Party:</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all Additional Disruption Events, Wells Fargo</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Miscellaneous:</w:t>
            </w:r>
          </w:p>
        </w:tc>
        <w:tc>
          <w:tcPr>
            <w:tcW w:w="2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Non-Reliance:</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13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3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3.</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Calculation Agent:</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Wells Fargo; provided that, following the occurrence and during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continuation of an Event of Default pursuant to Section 5(a)(vii) 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Master Agreement with respect to which is the Defaulting Party,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Counterparty shall have the right to designate a nationally recognized,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independent dealer in over-the-counter corporate equity derivatives to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replace Wells Fargo as Calculation Agent, and the parties shall work</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good faith to execute any appropriate documentation required by</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such replacement Calculation Agent.</w:t>
            </w:r>
          </w:p>
        </w:tc>
        <w:tc>
          <w:tcPr>
            <w:tcW w:w="0" w:type="dxa"/>
            <w:vAlign w:val="bottom"/>
          </w:tcPr>
          <w:p>
            <w:pPr>
              <w:spacing w:after="0"/>
              <w:rPr>
                <w:sz w:val="1"/>
                <w:szCs w:val="1"/>
                <w:color w:val="auto"/>
              </w:rPr>
            </w:pPr>
          </w:p>
        </w:tc>
      </w:tr>
      <w:tr>
        <w:trPr>
          <w:trHeight w:val="378"/>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 Details:</w:t>
            </w:r>
          </w:p>
        </w:tc>
        <w:tc>
          <w:tcPr>
            <w:tcW w:w="1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Wells Fargo’s USD payment</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ABA: 121 000 248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instructions:</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Wells Fargo Bank, National Association Account: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4087268223</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 Name: Wells Fargo Bank, National Association Additional</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Instructions: To be provided as needed.</w:t>
            </w:r>
          </w:p>
        </w:tc>
        <w:tc>
          <w:tcPr>
            <w:tcW w:w="0" w:type="dxa"/>
            <w:vAlign w:val="bottom"/>
          </w:tcPr>
          <w:p>
            <w:pPr>
              <w:spacing w:after="0"/>
              <w:rPr>
                <w:sz w:val="1"/>
                <w:szCs w:val="1"/>
                <w:color w:val="auto"/>
              </w:rPr>
            </w:pPr>
          </w:p>
        </w:tc>
      </w:tr>
      <w:tr>
        <w:trPr>
          <w:trHeight w:val="346"/>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Wells Fargo’s delivery instructions:</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DTC Number:</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Agent ID:  52196</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Institution ID:</w:t>
            </w: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52196</w:t>
            </w: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Counterparty’s payment and delivery</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be advised.</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instructions:</w:t>
            </w:r>
          </w:p>
        </w:tc>
        <w:tc>
          <w:tcPr>
            <w:tcW w:w="13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7" w:hanging="687"/>
        <w:spacing w:after="0"/>
        <w:tabs>
          <w:tab w:leader="none" w:pos="687"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u w:val="single" w:color="auto"/>
          <w:color w:val="auto"/>
        </w:rPr>
        <w:t>.</w:t>
      </w:r>
    </w:p>
    <w:p>
      <w:pPr>
        <w:spacing w:after="0" w:line="377" w:lineRule="exact"/>
        <w:rPr>
          <w:rFonts w:ascii="Times New Roman" w:cs="Times New Roman" w:eastAsia="Times New Roman" w:hAnsi="Times New Roman"/>
          <w:sz w:val="18"/>
          <w:szCs w:val="18"/>
          <w:color w:val="010000"/>
        </w:rPr>
      </w:pPr>
    </w:p>
    <w:p>
      <w:pPr>
        <w:ind w:left="1207" w:hanging="641"/>
        <w:spacing w:after="0"/>
        <w:tabs>
          <w:tab w:leader="none" w:pos="1207"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Office of Wells Fargo for the Transaction is: Charlotte, NC For notices with respect</w:t>
      </w:r>
    </w:p>
    <w:p>
      <w:pPr>
        <w:spacing w:after="0" w:line="211" w:lineRule="exact"/>
        <w:rPr>
          <w:rFonts w:ascii="Times New Roman" w:cs="Times New Roman" w:eastAsia="Times New Roman" w:hAnsi="Times New Roman"/>
          <w:sz w:val="18"/>
          <w:szCs w:val="18"/>
          <w:color w:val="010000"/>
        </w:rPr>
      </w:pPr>
    </w:p>
    <w:p>
      <w:pPr>
        <w:ind w:left="1207"/>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Transaction:</w:t>
      </w:r>
    </w:p>
    <w:p>
      <w:pPr>
        <w:spacing w:after="0" w:line="117" w:lineRule="exact"/>
        <w:rPr>
          <w:rFonts w:ascii="Times New Roman" w:cs="Times New Roman" w:eastAsia="Times New Roman" w:hAnsi="Times New Roman"/>
          <w:sz w:val="18"/>
          <w:szCs w:val="18"/>
          <w:color w:val="010000"/>
        </w:rPr>
      </w:pPr>
    </w:p>
    <w:p>
      <w:pPr>
        <w:ind w:left="1207"/>
        <w:spacing w:after="0" w:line="282"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in the Master Agreement, all notices to Wells Fargo in connection with the Transaction are effective only upon delivery of email message to </w:t>
      </w:r>
      <w:r>
        <w:rPr>
          <w:rFonts w:ascii="Times New Roman" w:cs="Times New Roman" w:eastAsia="Times New Roman" w:hAnsi="Times New Roman"/>
          <w:sz w:val="18"/>
          <w:szCs w:val="18"/>
          <w:b w:val="1"/>
          <w:bCs w:val="1"/>
          <w:u w:val="single" w:color="auto"/>
          <w:color w:val="auto"/>
        </w:rPr>
        <w:t>CorporateDerivativeNotifications@wellsfargo.com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47"/>
          </w:cols>
          <w:pgMar w:left="733" w:top="1440" w:right="419" w:bottom="1440" w:gutter="0" w:footer="0" w:header="0"/>
        </w:sectPr>
      </w:pPr>
    </w:p>
    <w:bookmarkStart w:id="55" w:name="page56"/>
    <w:bookmarkEnd w:id="55"/>
    <w:p>
      <w:pPr>
        <w:ind w:left="1207" w:hanging="641"/>
        <w:spacing w:after="0"/>
        <w:tabs>
          <w:tab w:leader="none" w:pos="1207"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57" w:lineRule="exact"/>
        <w:rPr>
          <w:rFonts w:ascii="Times New Roman" w:cs="Times New Roman" w:eastAsia="Times New Roman" w:hAnsi="Times New Roman"/>
          <w:sz w:val="18"/>
          <w:szCs w:val="18"/>
          <w:color w:val="010000"/>
        </w:rPr>
      </w:pPr>
    </w:p>
    <w:p>
      <w:pPr>
        <w:ind w:left="1207"/>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notices with respect to the Transaction: nCino Inc.</w:t>
      </w:r>
    </w:p>
    <w:p>
      <w:pPr>
        <w:spacing w:after="0" w:line="95" w:lineRule="exact"/>
        <w:rPr>
          <w:rFonts w:ascii="Times New Roman" w:cs="Times New Roman" w:eastAsia="Times New Roman" w:hAnsi="Times New Roman"/>
          <w:sz w:val="18"/>
          <w:szCs w:val="18"/>
          <w:color w:val="010000"/>
        </w:rPr>
      </w:pPr>
    </w:p>
    <w:p>
      <w:pPr>
        <w:ind w:left="1207"/>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6"/>
          <w:szCs w:val="16"/>
          <w:color w:val="auto"/>
        </w:rPr>
        <w:t>6770 Parker Farm Drive</w:t>
      </w:r>
    </w:p>
    <w:p>
      <w:pPr>
        <w:spacing w:after="0" w:line="19" w:lineRule="exact"/>
        <w:rPr>
          <w:rFonts w:ascii="Times New Roman" w:cs="Times New Roman" w:eastAsia="Times New Roman" w:hAnsi="Times New Roman"/>
          <w:sz w:val="18"/>
          <w:szCs w:val="18"/>
          <w:color w:val="010000"/>
        </w:rPr>
      </w:pPr>
    </w:p>
    <w:p>
      <w:pPr>
        <w:ind w:left="1207"/>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Wilmington, NC 28405 Attention: Greg Orenstein</w:t>
      </w:r>
    </w:p>
    <w:p>
      <w:pPr>
        <w:spacing w:after="0" w:line="93" w:lineRule="exact"/>
        <w:rPr>
          <w:rFonts w:ascii="Times New Roman" w:cs="Times New Roman" w:eastAsia="Times New Roman" w:hAnsi="Times New Roman"/>
          <w:sz w:val="18"/>
          <w:szCs w:val="18"/>
          <w:color w:val="010000"/>
        </w:rPr>
      </w:pPr>
    </w:p>
    <w:p>
      <w:pPr>
        <w:ind w:left="627" w:hanging="627"/>
        <w:spacing w:after="0"/>
        <w:tabs>
          <w:tab w:leader="none" w:pos="62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Additional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010000"/>
        </w:rPr>
      </w:pPr>
    </w:p>
    <w:p>
      <w:pPr>
        <w:ind w:left="1207" w:right="200" w:hanging="640"/>
        <w:spacing w:after="0" w:line="286" w:lineRule="auto"/>
        <w:tabs>
          <w:tab w:leader="none" w:pos="1204" w:val="left"/>
        </w:tabs>
        <w:numPr>
          <w:ilvl w:val="1"/>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Counterparty Representations and Agreements</w:t>
      </w:r>
      <w:r>
        <w:rPr>
          <w:rFonts w:ascii="Times New Roman" w:cs="Times New Roman" w:eastAsia="Times New Roman" w:hAnsi="Times New Roman"/>
          <w:sz w:val="18"/>
          <w:szCs w:val="18"/>
          <w:color w:val="auto"/>
        </w:rPr>
        <w:t>. Counterparty represents and warrants to, and agrees with, Wells Fargo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48" w:lineRule="exact"/>
        <w:rPr>
          <w:rFonts w:ascii="Times New Roman" w:cs="Times New Roman" w:eastAsia="Times New Roman" w:hAnsi="Times New Roman"/>
          <w:sz w:val="18"/>
          <w:szCs w:val="18"/>
          <w:color w:val="010000"/>
        </w:rPr>
      </w:pPr>
    </w:p>
    <w:p>
      <w:pPr>
        <w:jc w:val="both"/>
        <w:ind w:left="1207" w:firstLine="7"/>
        <w:spacing w:after="0" w:line="255" w:lineRule="auto"/>
        <w:tabs>
          <w:tab w:leader="none" w:pos="1525" w:val="left"/>
        </w:tabs>
        <w:numPr>
          <w:ilvl w:val="2"/>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Public Reports</w:t>
      </w:r>
      <w:r>
        <w:rPr>
          <w:rFonts w:ascii="Times New Roman" w:cs="Times New Roman" w:eastAsia="Times New Roman" w:hAnsi="Times New Roman"/>
          <w:sz w:val="18"/>
          <w:szCs w:val="18"/>
          <w:color w:val="auto"/>
        </w:rPr>
        <w:t>. As of the Trade Date, Counterparty is in compliance with its reporting obligations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all reports and other documents filed by Counterparty with the Securities and Exchange Commission pursuant to the Exchange Act, when considered as a whole (with the most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 Without limiting the generality of the foregoing, Counterparty and its officers and directors are not aware of any material non-public information regarding Counterparty or the Shares.</w:t>
      </w:r>
    </w:p>
    <w:p>
      <w:pPr>
        <w:spacing w:after="0" w:line="76" w:lineRule="exact"/>
        <w:rPr>
          <w:rFonts w:ascii="Times New Roman" w:cs="Times New Roman" w:eastAsia="Times New Roman" w:hAnsi="Times New Roman"/>
          <w:sz w:val="18"/>
          <w:szCs w:val="18"/>
          <w:color w:val="010000"/>
        </w:rPr>
      </w:pPr>
    </w:p>
    <w:p>
      <w:pPr>
        <w:jc w:val="both"/>
        <w:ind w:left="1207" w:firstLine="7"/>
        <w:spacing w:after="0" w:line="254" w:lineRule="auto"/>
        <w:tabs>
          <w:tab w:leader="none" w:pos="1521" w:val="left"/>
        </w:tabs>
        <w:numPr>
          <w:ilvl w:val="2"/>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In the event that Counterparty reasonably concludes that it or any of its affiliates or agents will take any action that would cause a “restricted period” under Regulation M in respect of a distribution to be applicable to any purchases of Shares by Counterparty or any of its “affiliated purchasers” (as defined in Regulation M) on any day prior to the latest of the (i) the final Valuation Date, (ii) the last day of the Settlement Valuation Period, and (iii) the last day of the Termination Purchase Period, as applicable, Counterparty shall provide Wells Fargo at least one Scheduled Trading Day’s written notice of such fact prior to the beginning of such restricted period. Counterparty acknowledges that any such action could cause the occurrence (or deemed occurrence) of a Market Disruption Event (and, accordingly, a Potential Adjustment Event). Accordingly, Counterparty acknowledges that its actions in relation to any such notice must comply with the standards set forth in Section 6(b) below.</w:t>
      </w:r>
    </w:p>
    <w:p>
      <w:pPr>
        <w:spacing w:after="0" w:line="77" w:lineRule="exact"/>
        <w:rPr>
          <w:rFonts w:ascii="Times New Roman" w:cs="Times New Roman" w:eastAsia="Times New Roman" w:hAnsi="Times New Roman"/>
          <w:sz w:val="18"/>
          <w:szCs w:val="18"/>
          <w:color w:val="010000"/>
        </w:rPr>
      </w:pPr>
    </w:p>
    <w:p>
      <w:pPr>
        <w:jc w:val="both"/>
        <w:ind w:left="1207" w:firstLine="8"/>
        <w:spacing w:after="0" w:line="261" w:lineRule="auto"/>
        <w:tabs>
          <w:tab w:leader="none" w:pos="1531" w:val="left"/>
        </w:tabs>
        <w:numPr>
          <w:ilvl w:val="2"/>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any security convertible into or exchangeable for the Shares) or to raise or depress or otherwise manipulate the price of the Shares (or any security convertible into or exchangeable for the Shares) or otherwise in violation of the Exchange Act and will not engage in any other securities or derivative transaction to such ends.</w:t>
      </w:r>
    </w:p>
    <w:p>
      <w:pPr>
        <w:spacing w:after="0" w:line="71" w:lineRule="exact"/>
        <w:rPr>
          <w:rFonts w:ascii="Times New Roman" w:cs="Times New Roman" w:eastAsia="Times New Roman" w:hAnsi="Times New Roman"/>
          <w:sz w:val="18"/>
          <w:szCs w:val="18"/>
          <w:color w:val="010000"/>
        </w:rPr>
      </w:pPr>
    </w:p>
    <w:p>
      <w:pPr>
        <w:jc w:val="both"/>
        <w:ind w:left="1207" w:firstLine="8"/>
        <w:spacing w:after="0" w:line="267" w:lineRule="auto"/>
        <w:tabs>
          <w:tab w:leader="none" w:pos="1521" w:val="left"/>
        </w:tabs>
        <w:numPr>
          <w:ilvl w:val="2"/>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No Distribution</w:t>
      </w:r>
      <w:r>
        <w:rPr>
          <w:rFonts w:ascii="Times New Roman" w:cs="Times New Roman" w:eastAsia="Times New Roman" w:hAnsi="Times New Roman"/>
          <w:sz w:val="18"/>
          <w:szCs w:val="18"/>
          <w:color w:val="auto"/>
        </w:rPr>
        <w:t>. Counterparty is not entering into the Transaction to facilitate a distribution of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that may be converted into or exercised or exchanged for Shares, or whose value under its terms may in whole or in significant part be determined by the value of the Shares) or in connection with any future issuance of securities.</w:t>
      </w:r>
    </w:p>
    <w:p>
      <w:pPr>
        <w:spacing w:after="0" w:line="78" w:lineRule="exact"/>
        <w:rPr>
          <w:rFonts w:ascii="Times New Roman" w:cs="Times New Roman" w:eastAsia="Times New Roman" w:hAnsi="Times New Roman"/>
          <w:sz w:val="18"/>
          <w:szCs w:val="18"/>
          <w:color w:val="010000"/>
        </w:rPr>
      </w:pPr>
    </w:p>
    <w:p>
      <w:pPr>
        <w:jc w:val="both"/>
        <w:ind w:left="1207" w:firstLine="8"/>
        <w:spacing w:after="0" w:line="251" w:lineRule="auto"/>
        <w:tabs>
          <w:tab w:leader="none" w:pos="1519"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u w:val="single" w:color="auto"/>
          <w:color w:val="auto"/>
        </w:rPr>
        <w:t>Solvency</w:t>
      </w:r>
      <w:r>
        <w:rPr>
          <w:rFonts w:ascii="Times New Roman" w:cs="Times New Roman" w:eastAsia="Times New Roman" w:hAnsi="Times New Roman"/>
          <w:sz w:val="18"/>
          <w:szCs w:val="18"/>
          <w:color w:val="auto"/>
        </w:rPr>
        <w:t>. As of the Trade Date, the Initial Share Delivery Date, the Prepayment Date and the Settlement Date, (a)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fair market value of Counterparty’s assets will exceed its liabilities (including contingent, subordinated, unmatured and unliquidated liabilities), (b) it has not engaged in and will not engage in any business or transaction after which the property remaining with it will be unreasonably small in relation to its business, (c) it has not incurred and does not intend to incur debts beyond its ability to pay as they mature, and (d) as a result of entering into and performing its obligations under the Transaction, (x) it has not violated and will not violate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4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87"/>
          </w:cols>
          <w:pgMar w:left="733" w:top="1242" w:right="979" w:bottom="1440" w:gutter="0" w:footer="0" w:header="0"/>
        </w:sectPr>
      </w:pPr>
    </w:p>
    <w:bookmarkStart w:id="56" w:name="page57"/>
    <w:bookmarkEnd w:id="56"/>
    <w:p>
      <w:pPr>
        <w:jc w:val="both"/>
        <w:ind w:left="641" w:right="20"/>
        <w:spacing w:after="0" w:line="266" w:lineRule="auto"/>
        <w:rPr>
          <w:sz w:val="20"/>
          <w:szCs w:val="20"/>
          <w:color w:val="auto"/>
        </w:rPr>
      </w:pPr>
      <w:r>
        <w:rPr>
          <w:rFonts w:ascii="Times New Roman" w:cs="Times New Roman" w:eastAsia="Times New Roman" w:hAnsi="Times New Roman"/>
          <w:sz w:val="18"/>
          <w:szCs w:val="18"/>
          <w:color w:val="auto"/>
        </w:rPr>
        <w:t>relevant state law provision applicable to the acquisition or redemption by an issuer of its own securities and (y) it would not be nor would it be rendered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641" w:firstLine="8"/>
        <w:spacing w:after="0" w:line="284" w:lineRule="auto"/>
        <w:tabs>
          <w:tab w:leader="none" w:pos="955"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Eligible Contract Participant</w:t>
      </w:r>
      <w:r>
        <w:rPr>
          <w:rFonts w:ascii="Times New Roman" w:cs="Times New Roman" w:eastAsia="Times New Roman" w:hAnsi="Times New Roman"/>
          <w:sz w:val="18"/>
          <w:szCs w:val="18"/>
          <w:color w:val="auto"/>
        </w:rPr>
        <w:t>. It is an “eligible contract participant,” as defined under the Commodity Exchange Act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U.S.C. § 1a(18)) and CFTC regulations (17 CFR § 1.3).</w:t>
      </w:r>
    </w:p>
    <w:p>
      <w:pPr>
        <w:spacing w:after="0" w:line="198" w:lineRule="exact"/>
        <w:rPr>
          <w:rFonts w:ascii="Times New Roman" w:cs="Times New Roman" w:eastAsia="Times New Roman" w:hAnsi="Times New Roman"/>
          <w:sz w:val="18"/>
          <w:szCs w:val="18"/>
          <w:color w:val="010000"/>
        </w:rPr>
      </w:pPr>
    </w:p>
    <w:p>
      <w:pPr>
        <w:ind w:left="641" w:right="20" w:firstLine="8"/>
        <w:spacing w:after="0" w:line="284" w:lineRule="auto"/>
        <w:tabs>
          <w:tab w:leader="none" w:pos="964"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Tender Offers</w:t>
      </w:r>
      <w:r>
        <w:rPr>
          <w:rFonts w:ascii="Times New Roman" w:cs="Times New Roman" w:eastAsia="Times New Roman" w:hAnsi="Times New Roman"/>
          <w:sz w:val="18"/>
          <w:szCs w:val="18"/>
          <w:color w:val="auto"/>
        </w:rPr>
        <w:t>. The purchase or writing of the Transaction by Counterparty will not violate Rule 13e-1 or Rule 13e-4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w:t>
      </w:r>
    </w:p>
    <w:p>
      <w:pPr>
        <w:spacing w:after="0" w:line="198" w:lineRule="exact"/>
        <w:rPr>
          <w:rFonts w:ascii="Times New Roman" w:cs="Times New Roman" w:eastAsia="Times New Roman" w:hAnsi="Times New Roman"/>
          <w:sz w:val="18"/>
          <w:szCs w:val="18"/>
          <w:color w:val="010000"/>
        </w:rPr>
      </w:pPr>
    </w:p>
    <w:p>
      <w:pPr>
        <w:jc w:val="both"/>
        <w:ind w:left="641" w:firstLine="8"/>
        <w:spacing w:after="0" w:line="267" w:lineRule="auto"/>
        <w:tabs>
          <w:tab w:leader="none" w:pos="1608"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Investment Company</w:t>
      </w:r>
      <w:r>
        <w:rPr>
          <w:rFonts w:ascii="Times New Roman" w:cs="Times New Roman" w:eastAsia="Times New Roman" w:hAnsi="Times New Roman"/>
          <w:sz w:val="18"/>
          <w:szCs w:val="18"/>
          <w:color w:val="auto"/>
        </w:rPr>
        <w:t>. Counterparty is not, and after giving effect to the transactions contemplated hereby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required to register as an “investment company” as such term is defined in the Investment Company Act of 1940, as amended.</w:t>
      </w:r>
    </w:p>
    <w:p>
      <w:pPr>
        <w:spacing w:after="0" w:line="213" w:lineRule="exact"/>
        <w:rPr>
          <w:rFonts w:ascii="Times New Roman" w:cs="Times New Roman" w:eastAsia="Times New Roman" w:hAnsi="Times New Roman"/>
          <w:sz w:val="18"/>
          <w:szCs w:val="18"/>
          <w:color w:val="010000"/>
        </w:rPr>
      </w:pPr>
    </w:p>
    <w:p>
      <w:pPr>
        <w:jc w:val="both"/>
        <w:ind w:left="641" w:firstLine="8"/>
        <w:spacing w:after="0" w:line="258" w:lineRule="auto"/>
        <w:tabs>
          <w:tab w:leader="none" w:pos="955"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Accounting Treatment</w:t>
      </w:r>
      <w:r>
        <w:rPr>
          <w:rFonts w:ascii="Times New Roman" w:cs="Times New Roman" w:eastAsia="Times New Roman" w:hAnsi="Times New Roman"/>
          <w:sz w:val="18"/>
          <w:szCs w:val="18"/>
          <w:color w:val="auto"/>
        </w:rPr>
        <w:t>. Without limiting the generality of Section 13.1 of the Equity Definitions,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acknowledges that neither Wells Fargo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from Equity </w:t>
      </w:r>
      <w:r>
        <w:rPr>
          <w:rFonts w:ascii="Times New Roman" w:cs="Times New Roman" w:eastAsia="Times New Roman" w:hAnsi="Times New Roman"/>
          <w:sz w:val="18"/>
          <w:szCs w:val="18"/>
          <w:color w:val="auto"/>
        </w:rPr>
        <w:t>and ASC 815-40,</w:t>
      </w:r>
      <w:r>
        <w:rPr>
          <w:rFonts w:ascii="Times New Roman" w:cs="Times New Roman" w:eastAsia="Times New Roman" w:hAnsi="Times New Roman"/>
          <w:sz w:val="18"/>
          <w:szCs w:val="18"/>
          <w:i w:val="1"/>
          <w:iCs w:val="1"/>
          <w:color w:val="auto"/>
        </w:rPr>
        <w:t xml:space="preserve"> Derivatives and Hedging – Contracts in Entity’s Own Equity</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010000"/>
        </w:rPr>
      </w:pPr>
    </w:p>
    <w:p>
      <w:pPr>
        <w:jc w:val="both"/>
        <w:ind w:left="641" w:firstLine="8"/>
        <w:spacing w:after="0" w:line="261" w:lineRule="auto"/>
        <w:tabs>
          <w:tab w:leader="none" w:pos="959"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Authorization and Disclosure</w:t>
      </w:r>
      <w:r>
        <w:rPr>
          <w:rFonts w:ascii="Times New Roman" w:cs="Times New Roman" w:eastAsia="Times New Roman" w:hAnsi="Times New Roman"/>
          <w:sz w:val="18"/>
          <w:szCs w:val="18"/>
          <w:color w:val="auto"/>
        </w:rPr>
        <w:t>. (A) The Transaction is being entered into pursuant to a publicly disclosed Share buy-back program and (B) there is no internal policy of Counterparty, whether written or oral, that would prohibit Counterparty from entering into such Transaction, including, without limitation, the purchases of Shares to be made pursuant to the Transaction.</w:t>
      </w:r>
    </w:p>
    <w:p>
      <w:pPr>
        <w:spacing w:after="0" w:line="220" w:lineRule="exact"/>
        <w:rPr>
          <w:rFonts w:ascii="Times New Roman" w:cs="Times New Roman" w:eastAsia="Times New Roman" w:hAnsi="Times New Roman"/>
          <w:sz w:val="18"/>
          <w:szCs w:val="18"/>
          <w:color w:val="010000"/>
        </w:rPr>
      </w:pPr>
    </w:p>
    <w:p>
      <w:pPr>
        <w:jc w:val="both"/>
        <w:ind w:left="641" w:firstLine="7"/>
        <w:spacing w:after="0" w:line="258" w:lineRule="auto"/>
        <w:tabs>
          <w:tab w:leader="none" w:pos="955" w:val="left"/>
        </w:tabs>
        <w:numPr>
          <w:ilvl w:val="2"/>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Rule 10b-18 purchases</w:t>
      </w:r>
      <w:r>
        <w:rPr>
          <w:rFonts w:ascii="Times New Roman" w:cs="Times New Roman" w:eastAsia="Times New Roman" w:hAnsi="Times New Roman"/>
          <w:sz w:val="18"/>
          <w:szCs w:val="18"/>
          <w:color w:val="auto"/>
        </w:rPr>
        <w:t>. Counterparty represents and warrants to Wells Fargo that neither it nor any “affiliated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(as defined in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has made any purchases of blocks pursuant to the proviso in Rule 10b-18(b)(4) during either</w:t>
      </w:r>
    </w:p>
    <w:p>
      <w:pPr>
        <w:ind w:left="641" w:right="20" w:firstLine="7"/>
        <w:spacing w:after="0" w:line="260" w:lineRule="auto"/>
        <w:tabs>
          <w:tab w:leader="none" w:pos="86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 full calendar weeks immediately preceding the Trade Date or (ii) during the calendar week in which the Trade Date occurs.</w:t>
      </w:r>
    </w:p>
    <w:p>
      <w:pPr>
        <w:spacing w:after="0" w:line="204" w:lineRule="exact"/>
        <w:rPr>
          <w:rFonts w:ascii="Times New Roman" w:cs="Times New Roman" w:eastAsia="Times New Roman" w:hAnsi="Times New Roman"/>
          <w:sz w:val="18"/>
          <w:szCs w:val="18"/>
          <w:color w:val="auto"/>
        </w:rPr>
      </w:pPr>
    </w:p>
    <w:p>
      <w:pPr>
        <w:ind w:left="641" w:hanging="641"/>
        <w:spacing w:after="0"/>
        <w:tabs>
          <w:tab w:leader="none" w:pos="641"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Rule 10b5-1</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010000"/>
        </w:rPr>
      </w:pPr>
    </w:p>
    <w:p>
      <w:pPr>
        <w:jc w:val="both"/>
        <w:ind w:left="641" w:firstLine="7"/>
        <w:spacing w:after="0" w:line="256" w:lineRule="auto"/>
        <w:tabs>
          <w:tab w:leader="none" w:pos="959" w:val="left"/>
        </w:tabs>
        <w:numPr>
          <w:ilvl w:val="1"/>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Counterparty intends the Transaction to comply with the requirements of Rule 10b5-1(c) under the Exchange Act. Counterparty represents and warrants to Wells Fargo that it is entering into the Transaction in good faith and not as part of a plan or scheme to evade the antifraud or anti-manipulation provisions of the federal or applicable state securities laws and that it has not entered into or altered any hedging transaction relating to the Shares corresponding to or offsetting the Transaction. Counterparty represents and warrants that it has consulted with its own advisors as to the legal aspects of its adoption and implementation of the Transaction under Rule 10b5-1 under the Exchange Act.</w:t>
      </w:r>
    </w:p>
    <w:p>
      <w:pPr>
        <w:spacing w:after="0" w:line="79" w:lineRule="exact"/>
        <w:rPr>
          <w:rFonts w:ascii="Times New Roman" w:cs="Times New Roman" w:eastAsia="Times New Roman" w:hAnsi="Times New Roman"/>
          <w:sz w:val="18"/>
          <w:szCs w:val="18"/>
          <w:color w:val="010000"/>
        </w:rPr>
      </w:pPr>
    </w:p>
    <w:p>
      <w:pPr>
        <w:jc w:val="both"/>
        <w:ind w:left="641" w:firstLine="7"/>
        <w:spacing w:after="0" w:line="254" w:lineRule="auto"/>
        <w:tabs>
          <w:tab w:leader="none" w:pos="9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not, at any time during any Calculation Period, Settlement Valuation Period or Termination Purchase Period, communicate, directly or indirectly, any material nonpublic information concerning itself or the Shares or purchases or sales of Shares by Wells Fargo (or its agent or affiliate) to any Relevant Bank Personnel. “</w:t>
      </w:r>
      <w:r>
        <w:rPr>
          <w:rFonts w:ascii="Times New Roman" w:cs="Times New Roman" w:eastAsia="Times New Roman" w:hAnsi="Times New Roman"/>
          <w:sz w:val="18"/>
          <w:szCs w:val="18"/>
          <w:b w:val="1"/>
          <w:bCs w:val="1"/>
          <w:color w:val="auto"/>
        </w:rPr>
        <w:t>Relevant Bank Personnel</w:t>
      </w:r>
      <w:r>
        <w:rPr>
          <w:rFonts w:ascii="Times New Roman" w:cs="Times New Roman" w:eastAsia="Times New Roman" w:hAnsi="Times New Roman"/>
          <w:sz w:val="18"/>
          <w:szCs w:val="18"/>
          <w:color w:val="auto"/>
        </w:rPr>
        <w:t xml:space="preserve">” means any employees or agents of Wells Fargo or any affiliate of Wells Fargo that Wells Fargo has notified Counterparty in writing are “Relevant Bank Personnel”;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Wells Fargo may amend, with prospective effect only, the list of Relevant Bank Personnel at any time by delivering a revised list to Counterparty. “Relevant Bank Personnel” shall initially mean any personnel of the equity derivatives trading group of Wells Fargo or its affiliates who are responsible for, or have the ability to influence, the execution of the Transaction and of Wells Fargo’s hedge in relation thereto.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621"/>
          </w:cols>
          <w:pgMar w:left="1299" w:top="1242" w:right="979" w:bottom="1440" w:gutter="0" w:footer="0" w:header="0"/>
        </w:sectPr>
      </w:pPr>
    </w:p>
    <w:bookmarkStart w:id="57" w:name="page58"/>
    <w:bookmarkEnd w:id="57"/>
    <w:p>
      <w:pPr>
        <w:jc w:val="both"/>
        <w:ind w:left="641" w:firstLine="7"/>
        <w:spacing w:after="0" w:line="254" w:lineRule="auto"/>
        <w:tabs>
          <w:tab w:leader="none" w:pos="965" w:val="left"/>
        </w:tabs>
        <w:numPr>
          <w:ilvl w:val="1"/>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Counterparty agrees that Counterparty shall not enter into or alter any hedging transaction relating to the Shares corresponding to or offsetting the Transaction. Counterparty also acknowledges and agrees that any amendment, modification, waiver or termination of this Confirmation must be effected in accordance with the requirements for the amendment or termination of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as defined in Rule 10b5-1(c) under the Exchange Act. Without limiting the generality of the foregoing, any such amendment, modification, waiver or termination shall be made in good faith and not as part of a plan or scheme to evade the prohibitions of Rule 10b-5, and no such amendment, modification, waiver or termination shall be made at any time at which Counterparty or any officer, director, manager or similar person of Counterparty is aware of any material non-public information regarding Counterparty or the Shares. Counterparty represents and warrants to Wells Fargo that it will act in good faith with respect to the Transaction.</w:t>
      </w:r>
    </w:p>
    <w:p>
      <w:pPr>
        <w:spacing w:after="0" w:line="80" w:lineRule="exact"/>
        <w:rPr>
          <w:rFonts w:ascii="Times New Roman" w:cs="Times New Roman" w:eastAsia="Times New Roman" w:hAnsi="Times New Roman"/>
          <w:sz w:val="18"/>
          <w:szCs w:val="18"/>
          <w:color w:val="010000"/>
        </w:rPr>
      </w:pPr>
    </w:p>
    <w:p>
      <w:pPr>
        <w:ind w:left="641" w:right="20" w:firstLine="7"/>
        <w:spacing w:after="0" w:line="282" w:lineRule="auto"/>
        <w:tabs>
          <w:tab w:leader="none" w:pos="955" w:val="left"/>
        </w:tabs>
        <w:numPr>
          <w:ilvl w:val="1"/>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Counterparty acknowledges and agrees that it does not have, and shall not attempt to exercise, any influence over how, when or whether Wells Fargo effects any purchases of Shares in connection with the Transaction.</w:t>
      </w:r>
    </w:p>
    <w:p>
      <w:pPr>
        <w:spacing w:after="0" w:line="49" w:lineRule="exact"/>
        <w:rPr>
          <w:rFonts w:ascii="Times New Roman" w:cs="Times New Roman" w:eastAsia="Times New Roman" w:hAnsi="Times New Roman"/>
          <w:sz w:val="18"/>
          <w:szCs w:val="18"/>
          <w:color w:val="010000"/>
        </w:rPr>
      </w:pPr>
    </w:p>
    <w:p>
      <w:pPr>
        <w:jc w:val="both"/>
        <w:ind w:left="641" w:right="20" w:hanging="641"/>
        <w:spacing w:after="0" w:line="268" w:lineRule="auto"/>
        <w:tabs>
          <w:tab w:leader="none" w:pos="638"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U.S. Private Placement Representations</w:t>
      </w:r>
      <w:r>
        <w:rPr>
          <w:rFonts w:ascii="Times New Roman" w:cs="Times New Roman" w:eastAsia="Times New Roman" w:hAnsi="Times New Roman"/>
          <w:sz w:val="18"/>
          <w:szCs w:val="18"/>
          <w:color w:val="auto"/>
        </w:rPr>
        <w:t>. Each party acknowledges that the offer and sale of the Transaction to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be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virtue of Section 4(a)(2) thereof. Accordingly, each party hereby represents and warrants to the other party as of the date hereof that:</w:t>
      </w:r>
    </w:p>
    <w:p>
      <w:pPr>
        <w:spacing w:after="0" w:line="66" w:lineRule="exact"/>
        <w:rPr>
          <w:rFonts w:ascii="Times New Roman" w:cs="Times New Roman" w:eastAsia="Times New Roman" w:hAnsi="Times New Roman"/>
          <w:sz w:val="18"/>
          <w:szCs w:val="18"/>
          <w:color w:val="010000"/>
        </w:rPr>
      </w:pPr>
    </w:p>
    <w:p>
      <w:pPr>
        <w:jc w:val="both"/>
        <w:ind w:left="641" w:right="20" w:firstLine="8"/>
        <w:spacing w:after="0" w:line="266" w:lineRule="auto"/>
        <w:tabs>
          <w:tab w:leader="none" w:pos="959" w:val="left"/>
        </w:tabs>
        <w:numPr>
          <w:ilvl w:val="1"/>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is an “accredited investor” (as defined in Regulation D under the Securities Act) and has such knowledge and experience in financial and business matters as to be capable of evaluating the merits and risks of the Transaction, and it is able to bear the economic risk of the Transaction.</w:t>
      </w:r>
    </w:p>
    <w:p>
      <w:pPr>
        <w:spacing w:after="0" w:line="67" w:lineRule="exact"/>
        <w:rPr>
          <w:rFonts w:ascii="Times New Roman" w:cs="Times New Roman" w:eastAsia="Times New Roman" w:hAnsi="Times New Roman"/>
          <w:sz w:val="18"/>
          <w:szCs w:val="18"/>
          <w:color w:val="010000"/>
        </w:rPr>
      </w:pPr>
    </w:p>
    <w:p>
      <w:pPr>
        <w:ind w:left="641" w:firstLine="8"/>
        <w:spacing w:after="0" w:line="282" w:lineRule="auto"/>
        <w:tabs>
          <w:tab w:leader="none" w:pos="955" w:val="left"/>
        </w:tabs>
        <w:numPr>
          <w:ilvl w:val="1"/>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is entering into the Transaction for its own account and not with a view to the distribution or resale of the Transaction or its rights thereunder.</w:t>
      </w:r>
    </w:p>
    <w:p>
      <w:pPr>
        <w:spacing w:after="0" w:line="49" w:lineRule="exact"/>
        <w:rPr>
          <w:rFonts w:ascii="Times New Roman" w:cs="Times New Roman" w:eastAsia="Times New Roman" w:hAnsi="Times New Roman"/>
          <w:sz w:val="18"/>
          <w:szCs w:val="18"/>
          <w:color w:val="010000"/>
        </w:rPr>
      </w:pPr>
    </w:p>
    <w:p>
      <w:pPr>
        <w:jc w:val="both"/>
        <w:ind w:left="641" w:hanging="641"/>
        <w:spacing w:after="0" w:line="259" w:lineRule="auto"/>
        <w:tabs>
          <w:tab w:leader="none" w:pos="635"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Securities Contract; Swap Agreement</w:t>
      </w:r>
      <w:r>
        <w:rPr>
          <w:rFonts w:ascii="Times New Roman" w:cs="Times New Roman" w:eastAsia="Times New Roman" w:hAnsi="Times New Roman"/>
          <w:sz w:val="18"/>
          <w:szCs w:val="18"/>
          <w:color w:val="auto"/>
        </w:rPr>
        <w:t>. The parties hereto agree and acknowledge that Wells Fargo is a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within the meaning of Sections 101(22), 101(53C) and 101(22A) of the Bankruptcy Code. The parties hereto further agree and acknowledge that the Transaction is</w:t>
      </w:r>
    </w:p>
    <w:p>
      <w:pPr>
        <w:jc w:val="both"/>
        <w:ind w:left="641" w:firstLine="6"/>
        <w:spacing w:after="0" w:line="251" w:lineRule="auto"/>
        <w:tabs>
          <w:tab w:leader="none" w:pos="8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contract” as such term is defined in Section 741(7) of the Bankruptcy Code, in which case each payment and delivery made pursuant to the Transaction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that Wells Fargo is entitled to the protections afforded by, among other sections, Sections 362(b)(6), 362(b)(17), 362(o), 546(e), 546(g), 548(d)(2), 555, 560 and 561 of the Bankruptcy Code.</w:t>
      </w:r>
    </w:p>
    <w:p>
      <w:pPr>
        <w:spacing w:after="0" w:line="243" w:lineRule="exact"/>
        <w:rPr>
          <w:rFonts w:ascii="Times New Roman" w:cs="Times New Roman" w:eastAsia="Times New Roman" w:hAnsi="Times New Roman"/>
          <w:sz w:val="18"/>
          <w:szCs w:val="18"/>
          <w:color w:val="auto"/>
        </w:rPr>
      </w:pPr>
    </w:p>
    <w:p>
      <w:pPr>
        <w:jc w:val="both"/>
        <w:ind w:left="641" w:hanging="641"/>
        <w:spacing w:after="0" w:line="257" w:lineRule="auto"/>
        <w:tabs>
          <w:tab w:leader="none" w:pos="637"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Bankruptcy Status</w:t>
      </w:r>
      <w:r>
        <w:rPr>
          <w:rFonts w:ascii="Times New Roman" w:cs="Times New Roman" w:eastAsia="Times New Roman" w:hAnsi="Times New Roman"/>
          <w:sz w:val="18"/>
          <w:szCs w:val="18"/>
          <w:color w:val="auto"/>
        </w:rPr>
        <w:t>. Wells Fargo acknowledges and agrees that this Confirmation is not intended to convey to it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transactions contemplated hereby that are senior to the claims of Counterparty’s common stockholders in the event of Counterparty’s bankruptcy;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deemed to limit Wells Fargo’s right to pursue remedies in the event of a breach by Counterparty of its obligations and agreements with respect to this Confirmation and the Master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nothing herein shall limit or shall be deemed to limit Wells Fargo’s rights in respect of any transaction other than the Transaction.</w:t>
      </w:r>
    </w:p>
    <w:p>
      <w:pPr>
        <w:spacing w:after="0" w:line="87" w:lineRule="exact"/>
        <w:rPr>
          <w:rFonts w:ascii="Times New Roman" w:cs="Times New Roman" w:eastAsia="Times New Roman" w:hAnsi="Times New Roman"/>
          <w:sz w:val="18"/>
          <w:szCs w:val="18"/>
          <w:color w:val="010000"/>
        </w:rPr>
      </w:pPr>
    </w:p>
    <w:p>
      <w:pPr>
        <w:jc w:val="both"/>
        <w:ind w:left="641" w:hanging="641"/>
        <w:spacing w:after="0" w:line="258" w:lineRule="auto"/>
        <w:tabs>
          <w:tab w:leader="none" w:pos="63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No Collateral or Setoff</w:t>
      </w:r>
      <w:r>
        <w:rPr>
          <w:rFonts w:ascii="Times New Roman" w:cs="Times New Roman" w:eastAsia="Times New Roman" w:hAnsi="Times New Roman"/>
          <w:sz w:val="18"/>
          <w:szCs w:val="18"/>
          <w:color w:val="auto"/>
        </w:rPr>
        <w:t>. Notwithstanding any provision of this Confirmation, the Master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parties to the contrary, the obligations of Counterparty under the Transaction are not secured by any collateral. Wells Fargo agrees not to set off or net amounts due from Counterparty with respect to the Transaction against amounts due from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621"/>
          </w:cols>
          <w:pgMar w:left="1299" w:top="1242" w:right="979" w:bottom="1440" w:gutter="0" w:footer="0" w:header="0"/>
        </w:sectPr>
      </w:pPr>
    </w:p>
    <w:bookmarkStart w:id="58" w:name="page59"/>
    <w:bookmarkEnd w:id="58"/>
    <w:p>
      <w:pPr>
        <w:ind w:left="641"/>
        <w:spacing w:after="0" w:line="286" w:lineRule="auto"/>
        <w:rPr>
          <w:sz w:val="20"/>
          <w:szCs w:val="20"/>
          <w:color w:val="auto"/>
        </w:rPr>
      </w:pPr>
      <w:r>
        <w:rPr>
          <w:rFonts w:ascii="Times New Roman" w:cs="Times New Roman" w:eastAsia="Times New Roman" w:hAnsi="Times New Roman"/>
          <w:sz w:val="18"/>
          <w:szCs w:val="18"/>
          <w:color w:val="auto"/>
        </w:rPr>
        <w:t>Wells Fargo to Counterparty under obligations other than Equity Contracts. “</w:t>
      </w:r>
      <w:r>
        <w:rPr>
          <w:rFonts w:ascii="Times New Roman" w:cs="Times New Roman" w:eastAsia="Times New Roman" w:hAnsi="Times New Roman"/>
          <w:sz w:val="18"/>
          <w:szCs w:val="18"/>
          <w:b w:val="1"/>
          <w:bCs w:val="1"/>
          <w:color w:val="auto"/>
        </w:rPr>
        <w:t>Equity Contract</w:t>
      </w:r>
      <w:r>
        <w:rPr>
          <w:rFonts w:ascii="Times New Roman" w:cs="Times New Roman" w:eastAsia="Times New Roman" w:hAnsi="Times New Roman"/>
          <w:sz w:val="18"/>
          <w:szCs w:val="18"/>
          <w:color w:val="auto"/>
        </w:rPr>
        <w:t>” means any transaction relating to Shares between the parties (or any of their affiliates) that qualifies as ‘equity’ under applicable accounting rules.</w:t>
      </w:r>
    </w:p>
    <w:p>
      <w:pPr>
        <w:spacing w:after="0" w:line="47" w:lineRule="exact"/>
        <w:rPr>
          <w:sz w:val="20"/>
          <w:szCs w:val="20"/>
          <w:color w:val="auto"/>
        </w:rPr>
      </w:pPr>
    </w:p>
    <w:p>
      <w:pPr>
        <w:jc w:val="both"/>
        <w:ind w:left="641" w:hanging="640"/>
        <w:spacing w:after="0" w:line="256" w:lineRule="auto"/>
        <w:tabs>
          <w:tab w:leader="none" w:pos="63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Additional Termination Events</w:t>
      </w:r>
      <w:r>
        <w:rPr>
          <w:rFonts w:ascii="Times New Roman" w:cs="Times New Roman" w:eastAsia="Times New Roman" w:hAnsi="Times New Roman"/>
          <w:sz w:val="18"/>
          <w:szCs w:val="18"/>
          <w:color w:val="auto"/>
        </w:rPr>
        <w:t>. Notwithstanding any other provision hereof, an Additional Termination Event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occur and Counterparty shall be the sole Affected Party pursuant to such Additional Termination Event if: (i) at any time on or prior to the final Valuation Date, the price per Share on the Exchange, as determined by the Calculation Agent, is at or below the Threshold Price as specified in Appendix A; or (ii) Counterparty declares an Excess Dividend or an Extraordinary Dividend, in either case, with an ex-dividend date that occurs or is scheduled to occur during the Relevant Dividend Period. For the avoidance of doubt, no such Excess Dividend or Extraordinary Dividend shall constitute a Potential Adjustment Event.</w:t>
      </w:r>
    </w:p>
    <w:p>
      <w:pPr>
        <w:spacing w:after="0" w:line="74" w:lineRule="exact"/>
        <w:rPr>
          <w:rFonts w:ascii="Times New Roman" w:cs="Times New Roman" w:eastAsia="Times New Roman" w:hAnsi="Times New Roman"/>
          <w:sz w:val="18"/>
          <w:szCs w:val="18"/>
          <w:color w:val="010000"/>
        </w:rPr>
      </w:pPr>
    </w:p>
    <w:p>
      <w:pPr>
        <w:jc w:val="both"/>
        <w:ind w:left="641" w:hanging="640"/>
        <w:spacing w:after="0" w:line="268" w:lineRule="auto"/>
        <w:tabs>
          <w:tab w:leader="none" w:pos="63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Maximum Share Delivery</w:t>
      </w:r>
      <w:r>
        <w:rPr>
          <w:rFonts w:ascii="Times New Roman" w:cs="Times New Roman" w:eastAsia="Times New Roman" w:hAnsi="Times New Roman"/>
          <w:sz w:val="18"/>
          <w:szCs w:val="18"/>
          <w:color w:val="auto"/>
        </w:rPr>
        <w:t>. Notwithstanding anything to the contrary in this Confirmation, in no event shall Wells Fargo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deliver any Shares, or any Shares or other securities comprising Alternative Termination Delivery Units, in respect of the Transaction in excess of the Maximum Number of Shares as specified in Appendix A.</w:t>
      </w:r>
    </w:p>
    <w:p>
      <w:pPr>
        <w:spacing w:after="0" w:line="62" w:lineRule="exact"/>
        <w:rPr>
          <w:rFonts w:ascii="Times New Roman" w:cs="Times New Roman" w:eastAsia="Times New Roman" w:hAnsi="Times New Roman"/>
          <w:sz w:val="18"/>
          <w:szCs w:val="18"/>
          <w:color w:val="010000"/>
        </w:rPr>
      </w:pPr>
    </w:p>
    <w:p>
      <w:pPr>
        <w:jc w:val="both"/>
        <w:ind w:left="641" w:hanging="641"/>
        <w:spacing w:after="0" w:line="259" w:lineRule="auto"/>
        <w:tabs>
          <w:tab w:leader="none" w:pos="634"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Agreements to Deliver Documents</w:t>
      </w:r>
      <w:r>
        <w:rPr>
          <w:rFonts w:ascii="Times New Roman" w:cs="Times New Roman" w:eastAsia="Times New Roman" w:hAnsi="Times New Roman"/>
          <w:sz w:val="18"/>
          <w:szCs w:val="18"/>
          <w:color w:val="auto"/>
        </w:rPr>
        <w:t>. Counterparty agrees to complete (accurately and in a manner reasonably satisfactory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party), execute, and deliver to Wells Fargo, United States Internal Revenue Service Form W-8 or Form W-9, as applicable, or any successor of such form, (i) upon execution of this Confirmation, (ii) promptly upon reasonable demand by Wells Fargo, and (iii) promptly upon learning that any such form previously provided by it has become obsolete or incorrect.</w:t>
      </w:r>
    </w:p>
    <w:p>
      <w:pPr>
        <w:spacing w:after="0" w:line="71" w:lineRule="exact"/>
        <w:rPr>
          <w:rFonts w:ascii="Times New Roman" w:cs="Times New Roman" w:eastAsia="Times New Roman" w:hAnsi="Times New Roman"/>
          <w:sz w:val="18"/>
          <w:szCs w:val="18"/>
          <w:color w:val="010000"/>
        </w:rPr>
      </w:pPr>
    </w:p>
    <w:p>
      <w:pPr>
        <w:jc w:val="both"/>
        <w:ind w:left="641" w:hanging="641"/>
        <w:spacing w:after="0" w:line="254" w:lineRule="auto"/>
        <w:tabs>
          <w:tab w:leader="none" w:pos="635"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color w:val="auto"/>
        </w:rPr>
        <w:t>. Counterparty shall indemnify and hold harmless Wells Fargo and any of its affiliates,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partners, controlling entities or agents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claims, losses, damages and liabilities (including, without limitation, any documented legal or other out-of-pocket expenses reasonably incurred in connection with defending or investigating any such action or claim)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arising out of or attributable to Counterparty’s breach of its representations, warranties or agreements under this Confirmation, except to the extent that such Loss is found in a final non-appealable judgment by a court of competent jurisdiction to have resulted solely from the gross negligence, willful misconduct or bad faith of any Indemnified Party. This indemnity agreement shall be in addition to any liability that Counterparty otherwise may have. The provisions of this paragraph shall survive the termination of this Confirmation.</w:t>
      </w:r>
    </w:p>
    <w:p>
      <w:pPr>
        <w:spacing w:after="0" w:line="93" w:lineRule="exact"/>
        <w:rPr>
          <w:rFonts w:ascii="Times New Roman" w:cs="Times New Roman" w:eastAsia="Times New Roman" w:hAnsi="Times New Roman"/>
          <w:sz w:val="18"/>
          <w:szCs w:val="18"/>
          <w:color w:val="010000"/>
        </w:rPr>
      </w:pPr>
    </w:p>
    <w:p>
      <w:pPr>
        <w:jc w:val="both"/>
        <w:ind w:left="641" w:hanging="641"/>
        <w:spacing w:after="0" w:line="250" w:lineRule="auto"/>
        <w:tabs>
          <w:tab w:leader="none" w:pos="62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Counterparty Purchases</w:t>
      </w:r>
      <w:r>
        <w:rPr>
          <w:rFonts w:ascii="Times New Roman" w:cs="Times New Roman" w:eastAsia="Times New Roman" w:hAnsi="Times New Roman"/>
          <w:sz w:val="18"/>
          <w:szCs w:val="18"/>
          <w:color w:val="auto"/>
        </w:rPr>
        <w:t>. Without the prior written consent of Wells Fargo, Counterparty shall not, and shall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“affiliated purchasers” (each as defined in Rule 10b-18) not to, directly or indirectly (including, without limitation, by means of a derivative)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for Shares during the Calculation Period, Settlement Valuation Period or Termination Purchase Period. However, the foregoing shall not (a) limit Counterparty’s ability to purchase Shares in connection with any company employee, officer or director equity plan or any dividend reinvestment plan, in each case, that are not expected to result in market transactions, (b) limit Counterparty’s ability to withhold Shares to cover tax liabilities associated with any such plan, (c) prohibit any purchases effected by or for an issuer “plan” by an “agent independent of the issuer” (each as defined in Rule 10b-18), (d) otherwise restrict Counterparty’s or any of its affiliates’ ability to repurchase Shares under privately negotiated, off exchange transactions with any of its employees, officers, directors, affiliates or any third party that are not expected to result in market transactions or (e) limit Counterparty’s ability to grant stock and options to “affiliated purchasers” (as defined in Rule 10b-</w:t>
      </w:r>
    </w:p>
    <w:p>
      <w:pPr>
        <w:spacing w:after="0" w:line="3" w:lineRule="exact"/>
        <w:rPr>
          <w:rFonts w:ascii="Times New Roman" w:cs="Times New Roman" w:eastAsia="Times New Roman" w:hAnsi="Times New Roman"/>
          <w:sz w:val="20"/>
          <w:szCs w:val="20"/>
          <w:color w:val="auto"/>
        </w:rPr>
      </w:pPr>
    </w:p>
    <w:p>
      <w:pPr>
        <w:ind w:left="641" w:right="20" w:firstLine="7"/>
        <w:spacing w:after="0" w:line="260" w:lineRule="auto"/>
        <w:tabs>
          <w:tab w:leader="none" w:pos="9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ability of such affiliated purchasers to acquire such stock or options in connection with Counterparty’s compensation policies for directors, officers and employees or any agreements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621"/>
          </w:cols>
          <w:pgMar w:left="1299" w:top="1238" w:right="979" w:bottom="1440" w:gutter="0" w:footer="0" w:header="0"/>
        </w:sectPr>
      </w:pPr>
    </w:p>
    <w:bookmarkStart w:id="59" w:name="page60"/>
    <w:bookmarkEnd w:id="59"/>
    <w:p>
      <w:pPr>
        <w:ind w:left="641"/>
        <w:spacing w:after="0"/>
        <w:rPr>
          <w:sz w:val="20"/>
          <w:szCs w:val="20"/>
          <w:color w:val="auto"/>
        </w:rPr>
      </w:pPr>
      <w:r>
        <w:rPr>
          <w:rFonts w:ascii="Times New Roman" w:cs="Times New Roman" w:eastAsia="Times New Roman" w:hAnsi="Times New Roman"/>
          <w:sz w:val="18"/>
          <w:szCs w:val="18"/>
          <w:color w:val="auto"/>
        </w:rPr>
        <w:t>respect to the compensation of directors, officers or employees of any entities that are acquisition targets of Counterparty.</w:t>
      </w:r>
    </w:p>
    <w:p>
      <w:pPr>
        <w:spacing w:after="0" w:line="248" w:lineRule="exact"/>
        <w:rPr>
          <w:sz w:val="20"/>
          <w:szCs w:val="20"/>
          <w:color w:val="auto"/>
        </w:rPr>
      </w:pPr>
    </w:p>
    <w:p>
      <w:pPr>
        <w:jc w:val="both"/>
        <w:ind w:left="641" w:right="580" w:hanging="641"/>
        <w:spacing w:after="0" w:line="210" w:lineRule="auto"/>
        <w:tabs>
          <w:tab w:leader="none" w:pos="63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Merger-related Transactions</w:t>
      </w:r>
      <w:r>
        <w:rPr>
          <w:rFonts w:ascii="Times New Roman" w:cs="Times New Roman" w:eastAsia="Times New Roman" w:hAnsi="Times New Roman"/>
          <w:sz w:val="18"/>
          <w:szCs w:val="18"/>
          <w:color w:val="auto"/>
        </w:rPr>
        <w:t>. During the Calculation Period, Settlement Valuation Period and Termination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as applicable, Counterparty shall (i) not make, or permit to be made, any public announcement (as defined in Rule 165(f) under the Securities Act) of any Merger Transaction or potential Merger Transaction (a “</w:t>
      </w:r>
      <w:r>
        <w:rPr>
          <w:rFonts w:ascii="Times New Roman" w:cs="Times New Roman" w:eastAsia="Times New Roman" w:hAnsi="Times New Roman"/>
          <w:sz w:val="18"/>
          <w:szCs w:val="18"/>
          <w:b w:val="1"/>
          <w:bCs w:val="1"/>
          <w:color w:val="auto"/>
        </w:rPr>
        <w:t>Merger Announcement</w:t>
      </w:r>
      <w:r>
        <w:rPr>
          <w:rFonts w:ascii="Times New Roman" w:cs="Times New Roman" w:eastAsia="Times New Roman" w:hAnsi="Times New Roman"/>
          <w:sz w:val="18"/>
          <w:szCs w:val="18"/>
          <w:color w:val="auto"/>
        </w:rPr>
        <w:t>”) unless such Merger Announcement is made prior to the opening or after the close of the regular trading session on the Exchange for the Shares, (ii) notify Wells Fargo prior to the opening of trading in the Shares on any day on which Counterparty makes, or expects to be made, any Merger Announcement, (iii) promptly notify Wells Fargo following any such Merger Announcement that such Merger Announcement has been made, and (iv) promptly deliver to Wells Fargo following the making of any such Merger Announcement a certificate indicating (A) Counterparty’s average daily Rule 10b-18 purchases (as defined in Rule 10b-18) during the three full calendar months preceding the date of the Merger Announcement and (B) Counterparty’s block purchases (as defined in Rule 10b-18) effected pursuant to paragraph (b)(4) of Rule 10b-18 during the three full calendar months preceding the date of the Merger Announcement. In addition, Counterparty shall promptly notify Wells Fargo of the earlier to occur of the completion of any Merger Transaction and the completion of the vote by target shareholders. Counterparty acknowledges that any Merger Announcement may cause the terms of the Transaction to be adjusted or terminated. Accordingly, Counterparty acknowledges that its actions in relation to any Merger Announcement or Merger Transaction must comply with the standards set forth in Section 6(b) above. Upon the occurrence of any Merger Announcement, Wells Fargo may (i) make adjustments in a commercially reasonable manner to the terms of the Transaction, including, without limitation, the Forward Price Adjustment, and/or suspend the Calculation Period, Settlement Valuation Period and/or Termination Purchase Period or (ii) treat the occurrence of such Merger Announcement as an Additional Termination Event with Counterparty as the sole Affected Party and the Transaction hereunder as the Affected Transaction and with the amount under Section 6(e) of the Master Agreement determined taking into account the fact that the Calculation Period, Settlement Valuation Period and/or Termination Purchase Period, as the case may be, had fewer Scheduled Trading Days than originally anticipated.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relating to Counterparty, other than, solely for purposes of this clause (l), any such transaction in which the consideration consists solely of cash and there is no valuation period.</w:t>
      </w:r>
    </w:p>
    <w:p>
      <w:pPr>
        <w:spacing w:after="0" w:line="223" w:lineRule="exact"/>
        <w:rPr>
          <w:rFonts w:ascii="Times New Roman" w:cs="Times New Roman" w:eastAsia="Times New Roman" w:hAnsi="Times New Roman"/>
          <w:sz w:val="20"/>
          <w:szCs w:val="20"/>
          <w:color w:val="auto"/>
        </w:rPr>
      </w:pPr>
    </w:p>
    <w:p>
      <w:pPr>
        <w:ind w:left="641" w:hanging="640"/>
        <w:spacing w:after="0"/>
        <w:tabs>
          <w:tab w:leader="none" w:pos="641"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Acknowledgments and Agreements Regarding Hedging</w:t>
      </w:r>
      <w:r>
        <w:rPr>
          <w:rFonts w:ascii="Times New Roman" w:cs="Times New Roman" w:eastAsia="Times New Roman" w:hAnsi="Times New Roman"/>
          <w:sz w:val="18"/>
          <w:szCs w:val="18"/>
          <w:color w:val="auto"/>
        </w:rPr>
        <w:t>. Counterparty acknowledges and agrees that, subject to Section</w:t>
      </w:r>
    </w:p>
    <w:p>
      <w:pPr>
        <w:spacing w:after="0" w:line="31" w:lineRule="exact"/>
        <w:rPr>
          <w:rFonts w:ascii="Times New Roman" w:cs="Times New Roman" w:eastAsia="Times New Roman" w:hAnsi="Times New Roman"/>
          <w:sz w:val="18"/>
          <w:szCs w:val="18"/>
          <w:color w:val="010000"/>
        </w:rPr>
      </w:pPr>
    </w:p>
    <w:p>
      <w:pPr>
        <w:jc w:val="both"/>
        <w:ind w:left="641" w:right="580"/>
        <w:spacing w:after="0" w:line="251"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6(n) below, (i) during the Calculation Period, Wells Fargo and its affiliates may (x) buy or sell Shares or other securities or buy or sell options or futures contracts or enter into swaps or other derivative securities in order to adjust its hedge position with respect to the Transaction and (y) be active in the market for Shares other than in connection with hedging activities in relation to the Transaction, (ii) Wells Fargo shall make its own determination as to whether, when or in what manner any hedging or market activities in Counterparty’s securities shall be conducted and shall do so in a manner that it deems appropriate to hedge its price and market risk with respect to the Forward Price and/or the VWAP Price and (iii) any market activities of Wells Fargo and its affiliates with respect to Shares may affect the market price and volatility of Shares, as well as the Forward Price, the Cash Settlement Price and/or the VWAP Price, each in a manner that may be adverse to Counterparty.</w:t>
      </w:r>
    </w:p>
    <w:p>
      <w:pPr>
        <w:spacing w:after="0" w:line="216" w:lineRule="exact"/>
        <w:rPr>
          <w:rFonts w:ascii="Times New Roman" w:cs="Times New Roman" w:eastAsia="Times New Roman" w:hAnsi="Times New Roman"/>
          <w:sz w:val="18"/>
          <w:szCs w:val="18"/>
          <w:color w:val="010000"/>
        </w:rPr>
      </w:pPr>
    </w:p>
    <w:p>
      <w:pPr>
        <w:ind w:left="641" w:right="600" w:hanging="641"/>
        <w:spacing w:after="0" w:line="286" w:lineRule="auto"/>
        <w:tabs>
          <w:tab w:leader="none" w:pos="634"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Additional Representations, Warranties and Covenants of Wells Fargo.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Wells Fargo represents, warrants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Counterparty that:</w:t>
      </w:r>
    </w:p>
    <w:p>
      <w:pPr>
        <w:spacing w:after="0" w:line="50" w:lineRule="exact"/>
        <w:rPr>
          <w:rFonts w:ascii="Times New Roman" w:cs="Times New Roman" w:eastAsia="Times New Roman" w:hAnsi="Times New Roman"/>
          <w:sz w:val="18"/>
          <w:szCs w:val="18"/>
          <w:color w:val="010000"/>
        </w:rPr>
      </w:pPr>
    </w:p>
    <w:p>
      <w:pPr>
        <w:ind w:left="1301" w:hanging="653"/>
        <w:spacing w:after="0" w:line="258" w:lineRule="auto"/>
        <w:tabs>
          <w:tab w:leader="none" w:pos="1295" w:val="left"/>
        </w:tabs>
        <w:numPr>
          <w:ilvl w:val="1"/>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Wells Fargo shall use commercially reasonable efforts, during the Calculation Period, any Settlement Valuation Period and any Termination Purchase Period, to make all purchases of Shares in connection with the Transaction in a manner that would comply with the limitations set forth in clauses (b)(1), (b)(2), (b)(3) and (b)(4) and (c) of Rule 10b-18, as if such rule were applicable to such purchases and taking into account any applicable Securities and Exchange Commission no-action letters as appropriate, and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01"/>
          </w:cols>
          <w:pgMar w:left="1299" w:top="1242" w:right="399" w:bottom="1440" w:gutter="0" w:footer="0" w:header="0"/>
        </w:sectPr>
      </w:pPr>
    </w:p>
    <w:bookmarkStart w:id="60" w:name="page61"/>
    <w:bookmarkEnd w:id="60"/>
    <w:p>
      <w:pPr>
        <w:jc w:val="both"/>
        <w:ind w:left="1867"/>
        <w:spacing w:after="0" w:line="261" w:lineRule="auto"/>
        <w:rPr>
          <w:sz w:val="20"/>
          <w:szCs w:val="20"/>
          <w:color w:val="auto"/>
        </w:rPr>
      </w:pPr>
      <w:r>
        <w:rPr>
          <w:rFonts w:ascii="Times New Roman" w:cs="Times New Roman" w:eastAsia="Times New Roman" w:hAnsi="Times New Roman"/>
          <w:sz w:val="18"/>
          <w:szCs w:val="18"/>
          <w:color w:val="auto"/>
        </w:rPr>
        <w:t>delays between the execution and reporting of a trade of the Shares on the Exchange and other circumstances beyond Wells Fargo's control; provided that, during a Calculation Period, the foregoing agreement shall not apply to purchases made to dynamically hedge for Wells Fargo's own account or the account of its affiliate(s) the optionality arising under the Transaction (including, for the avoidance of doubt, timing optionality).</w:t>
      </w:r>
    </w:p>
    <w:p>
      <w:pPr>
        <w:spacing w:after="0" w:line="85" w:lineRule="exact"/>
        <w:rPr>
          <w:sz w:val="20"/>
          <w:szCs w:val="20"/>
          <w:color w:val="auto"/>
        </w:rPr>
      </w:pPr>
    </w:p>
    <w:p>
      <w:pPr>
        <w:ind w:left="1867" w:right="1960" w:hanging="653"/>
        <w:spacing w:after="0" w:line="271" w:lineRule="auto"/>
        <w:tabs>
          <w:tab w:leader="none" w:pos="186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It is an “eligible contract participant,” as defined under the Commodity Exchange Act (7 U.S.C. § 1a(18)) and CFTC regulations (17 CFR § 1.3).</w:t>
      </w:r>
    </w:p>
    <w:p>
      <w:pPr>
        <w:spacing w:after="0" w:line="195" w:lineRule="exact"/>
        <w:rPr>
          <w:rFonts w:ascii="Times New Roman" w:cs="Times New Roman" w:eastAsia="Times New Roman" w:hAnsi="Times New Roman"/>
          <w:sz w:val="20"/>
          <w:szCs w:val="20"/>
          <w:color w:val="auto"/>
        </w:rPr>
      </w:pPr>
    </w:p>
    <w:p>
      <w:pPr>
        <w:jc w:val="both"/>
        <w:ind w:left="1867" w:hanging="653"/>
        <w:spacing w:after="0" w:line="261" w:lineRule="auto"/>
        <w:tabs>
          <w:tab w:leader="none" w:pos="1866"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Wells Fargo has implemented policies and procedures, taking into consideration the nature of its business, reasonably designed to prevent individuals making investment decisions related to the Transaction from having access to material nonpublic information regarding the Issuer that may be in possession of other individuals at Wells Fargo.</w:t>
      </w:r>
    </w:p>
    <w:p>
      <w:pPr>
        <w:spacing w:after="0" w:line="216" w:lineRule="exact"/>
        <w:rPr>
          <w:sz w:val="20"/>
          <w:szCs w:val="20"/>
          <w:color w:val="auto"/>
        </w:rPr>
      </w:pPr>
    </w:p>
    <w:p>
      <w:pPr>
        <w:ind w:left="627" w:hanging="627"/>
        <w:spacing w:after="0"/>
        <w:tabs>
          <w:tab w:leader="none" w:pos="627"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Regulatory Disruption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left="567"/>
        <w:spacing w:after="0" w:line="253" w:lineRule="auto"/>
        <w:rPr>
          <w:sz w:val="20"/>
          <w:szCs w:val="20"/>
          <w:color w:val="auto"/>
        </w:rPr>
      </w:pPr>
      <w:r>
        <w:rPr>
          <w:rFonts w:ascii="Times New Roman" w:cs="Times New Roman" w:eastAsia="Times New Roman" w:hAnsi="Times New Roman"/>
          <w:sz w:val="18"/>
          <w:szCs w:val="18"/>
          <w:color w:val="auto"/>
        </w:rPr>
        <w:t xml:space="preserve">In the event that Wells Fargo determines, based on advice of counsel, that it is appropriate with regard to any legal, regulatory or self-regulatory requirements or related policies and procedures (whether or not such requirements, policies or procedures are imposed by law or have been voluntarily adopted by Wells Fargo, and including, without limitation, Rule 10b-18, Rule 10b-5, Regulation 13D-G and Regulation 14E), to refrain from purchasing Shares or to purchase fewer than the number of Shares than would otherwise be expected to be purchased in a commercially reasonable manner on any Scheduled Trading Day during the duration of the Transaction, then Wells Fargo may, in its reasonable discretion, elect to deem that a Market Disruption Event has occurred and will be continuing on such Scheduled Trading Day or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deemed Market Disruption Event is deemed to have occurred solely in response to such related policies or procedures, such Scheduled Trading Day or Days will each be a Disrupted Day in full. Wells Fargo shall promptly notify Counterparty upon the exercise of Wells Fargo’s rights pursuant to this Section 7 and to subsequently notify the Issuer when Wells Fargo determines that it may resume market activity.</w:t>
      </w:r>
    </w:p>
    <w:p>
      <w:pPr>
        <w:spacing w:after="0" w:line="231" w:lineRule="exact"/>
        <w:rPr>
          <w:sz w:val="20"/>
          <w:szCs w:val="20"/>
          <w:color w:val="auto"/>
        </w:rPr>
      </w:pPr>
    </w:p>
    <w:p>
      <w:pPr>
        <w:ind w:left="627" w:hanging="627"/>
        <w:spacing w:after="0"/>
        <w:tabs>
          <w:tab w:leader="none" w:pos="627"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Special Provisions regarding Acquisition Transaction Announcements</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010000"/>
        </w:rPr>
      </w:pPr>
    </w:p>
    <w:p>
      <w:pPr>
        <w:jc w:val="both"/>
        <w:ind w:left="1207" w:right="20" w:hanging="641"/>
        <w:spacing w:after="0" w:line="253" w:lineRule="auto"/>
        <w:tabs>
          <w:tab w:leader="none" w:pos="1204"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 Acquisition Transaction Announcement occurs on or prior to the final Settlement Date, then the Calculation Agent shall make such adjustments to the exercise, settlement, payment or any other terms of the Transaction (including, without limitation, the Number of Shares to be Delivered and the Forward Price Adjustment) at such time or at multiple times to account for the economic effect on the Transaction of such Acquisition Transaction Announcement (including adjustments to account solely for changes in price, volatility, stock loan rate and liquidity relevant to the Shares, to the Transaction or to commercially reasonable hedge positions in respect of the Transaction). If an Acquisition Transaction Announcement occurs after the Trade Date, but prior to the Earliest Acceleration Date, the Earliest Acceleration Date shall be the date of such Acquisition Transaction Announcement. If, after giving effect to any such adjustment, the Number of Shares to be Delivered for any settlement of the Transaction is a negative number, then the terms of the Counterparty Settlement Provisions in Annex A shall apply.</w:t>
      </w:r>
    </w:p>
    <w:p>
      <w:pPr>
        <w:spacing w:after="0" w:line="95" w:lineRule="exact"/>
        <w:rPr>
          <w:rFonts w:ascii="Times New Roman" w:cs="Times New Roman" w:eastAsia="Times New Roman" w:hAnsi="Times New Roman"/>
          <w:sz w:val="18"/>
          <w:szCs w:val="18"/>
          <w:color w:val="010000"/>
        </w:rPr>
      </w:pPr>
    </w:p>
    <w:p>
      <w:pPr>
        <w:jc w:val="both"/>
        <w:ind w:left="1207" w:hanging="641"/>
        <w:spacing w:after="0" w:line="251" w:lineRule="auto"/>
        <w:tabs>
          <w:tab w:leader="none" w:pos="119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 Announcement</w:t>
      </w:r>
      <w:r>
        <w:rPr>
          <w:rFonts w:ascii="Times New Roman" w:cs="Times New Roman" w:eastAsia="Times New Roman" w:hAnsi="Times New Roman"/>
          <w:sz w:val="18"/>
          <w:szCs w:val="18"/>
          <w:color w:val="auto"/>
        </w:rPr>
        <w:t>” means (i) the announcement of an Acquisition Transaction or an event that, if consummated, would result in an Acquisition Transaction, (ii) an announcement that Counterparty or any of its subsidiaries has entered into an agreement, a letter of intent or an understanding designed to result in an Acquisition Transaction, (iii) an announcement of the intention to solicit or enter into, or to explore strategic alternatives or other similar undertaking that may include, an Acquisition Transaction, (iv) any other announcement that in the reasonable judgment of the Calculation Agent may result in an Acquisition Transaction, or (v) any announcement of any change or amendment to any previous Acquisition Transaction Announcement (including any announcement of the abandonment of any such previously announced Acquisition Transaction, agreement, letter of intent, understanding or intention). For the avoidance of doubt, announcements as used in the definition of Acquisition Transaction Announcement refer to any public announcement whether made by Counterparty or a third party.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4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87"/>
          </w:cols>
          <w:pgMar w:left="733" w:top="1242" w:right="979" w:bottom="1440" w:gutter="0" w:footer="0" w:header="0"/>
        </w:sectPr>
      </w:pPr>
    </w:p>
    <w:bookmarkStart w:id="61" w:name="page62"/>
    <w:bookmarkEnd w:id="61"/>
    <w:p>
      <w:pPr>
        <w:jc w:val="both"/>
        <w:ind w:left="1207" w:right="320" w:hanging="641"/>
        <w:spacing w:after="0" w:line="253" w:lineRule="auto"/>
        <w:tabs>
          <w:tab w:leader="none" w:pos="1204"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“25%” and to “50%” by “75%”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(iii) a recapitalization, reclassification, binding share exchange or other similar transaction with respect to Counterparty, (iv) any acquisition, lease, exchange, transfer, disposition (including, without limitation, by way of spin-off or distribution) of assets (including, without limitation, any capital stock or other ownership interests in subsidiaries) or other similar event by Counterparty or any of its subsidiaries where the aggregate consideration transferable or receivable by or to Counterparty or its subsidiaries exceeds 25% of the market capitalization of Counterparty and (v) any transaction in which Counterparty or its board of directors has a legal obligation to make a recommendation to its shareholders in respect of such transaction (whether pursuant to Rule 14e-2 under the Exchange Act or otherwise).</w:t>
      </w:r>
    </w:p>
    <w:p>
      <w:pPr>
        <w:spacing w:after="0" w:line="230" w:lineRule="exact"/>
        <w:rPr>
          <w:rFonts w:ascii="Times New Roman" w:cs="Times New Roman" w:eastAsia="Times New Roman" w:hAnsi="Times New Roman"/>
          <w:sz w:val="18"/>
          <w:szCs w:val="18"/>
          <w:color w:val="010000"/>
        </w:rPr>
      </w:pPr>
    </w:p>
    <w:p>
      <w:pPr>
        <w:ind w:left="627" w:hanging="627"/>
        <w:spacing w:after="0"/>
        <w:tabs>
          <w:tab w:leader="none" w:pos="627"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010000"/>
        </w:rPr>
      </w:pPr>
    </w:p>
    <w:p>
      <w:pPr>
        <w:ind w:left="647" w:hanging="647"/>
        <w:spacing w:after="0"/>
        <w:tabs>
          <w:tab w:leader="none" w:pos="647"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Transfer and Assignment</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both"/>
        <w:ind w:left="567" w:right="3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Master Agreement, Dealer may assign, transfer and set over all rights, title and interest, powers, privileges and remedies of Dealer under this Transaction, in whole or in part, to an affiliate of Dealer whose obligations are guaranteed by Dealer without the consent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 assignment, transfer or set over, Counterparty would not, as a result of such assignment, transfer or set over, reasonably be expected at any time (A) to be required to pay (including a payment in kind) to Dealer or such transferee, assignee or other recipient of rights, title and interest, powers, obligations, privileges and remedies an amount in respect of an Indemnifiable Tax greater than the amount Counterparty would have been required to pay to Dealer in the absence of such assignment, transfer or set over, or (B) to receive a payment (including a payment in kind) after such assignment or transfer that is less than the amount Counterparty would have received if the payment were made immediately prior to such assignment, transfer or set over, (ii) prior to such assignment, transfer or set over, Dealer shall have caused the assignee, transferee, or other recipient of rights, title and interest, powers, obligations, privileges and remedies to make such Payee Tax Representations and to provide such tax documentation as may be reasonably requested by Counterparty to permit Counterparty to determine that the transfer complies with the requirements of clause (i) in this paragraph, and</w:t>
      </w:r>
    </w:p>
    <w:p>
      <w:pPr>
        <w:spacing w:after="0" w:line="2" w:lineRule="exact"/>
        <w:rPr>
          <w:sz w:val="20"/>
          <w:szCs w:val="20"/>
          <w:color w:val="auto"/>
        </w:rPr>
      </w:pPr>
    </w:p>
    <w:p>
      <w:pPr>
        <w:jc w:val="both"/>
        <w:ind w:left="567" w:right="320" w:hanging="1"/>
        <w:spacing w:after="0" w:line="255" w:lineRule="auto"/>
        <w:tabs>
          <w:tab w:leader="none" w:pos="8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Dealer or any transferee, assignee or other recipient of rights, title and interest, powers, obligations, privileges and remedies shall be eligible to provide a U.S. Internal Revenue Service Form W-9 or W-8ECI, or any successor thereto, with respect to any payments or deliveries under the Master Agreement.</w:t>
      </w:r>
    </w:p>
    <w:p>
      <w:pPr>
        <w:spacing w:after="0" w:line="222" w:lineRule="exact"/>
        <w:rPr>
          <w:rFonts w:ascii="Times New Roman" w:cs="Times New Roman" w:eastAsia="Times New Roman" w:hAnsi="Times New Roman"/>
          <w:sz w:val="18"/>
          <w:szCs w:val="18"/>
          <w:color w:val="auto"/>
        </w:rPr>
      </w:pPr>
    </w:p>
    <w:p>
      <w:pPr>
        <w:ind w:left="627" w:hanging="627"/>
        <w:spacing w:after="0"/>
        <w:tabs>
          <w:tab w:leader="none" w:pos="627"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Limit on Beneficial Ownership</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567" w:right="32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Confirmation, Counterparty acknowledges and agrees that, on any day, Wells Fargo shall not be obligated or entitled to receive from Counterparty any Shares, and Counterparty shall not be entitled to deliver to Wells Fargo any Shares, to the extent (but only to the extent) that, after such receipt of any Shares hereunder, (i) the Section 16 Percentage would exceed 8.0%, or (ii) the Share Amount would exceed the Applicable Share Limit. Any purported delivery hereunder shall be void and have no effect to the extent (but only to the extent) that, after such delivery, (i) the Section 16 Percentage would exceed 8.0%, or (ii) the Share Amount would exceed the Applicable Share Limit. If any delivery owed to Wells Fargo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Wells Fargo gives notice to Counterparty that, after such delivery, (i) the Section 16 Percentage would not exceed 8.0%, and (ii) the Share Amount would not exceed the Applicable Share Limit.</w:t>
      </w:r>
    </w:p>
    <w:p>
      <w:pPr>
        <w:spacing w:after="0" w:line="82" w:lineRule="exact"/>
        <w:rPr>
          <w:sz w:val="20"/>
          <w:szCs w:val="20"/>
          <w:color w:val="auto"/>
        </w:rPr>
      </w:pPr>
    </w:p>
    <w:p>
      <w:pPr>
        <w:ind w:left="567"/>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Wells Fargo and any of its affiliates or any other person subject 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07"/>
          </w:cols>
          <w:pgMar w:left="733" w:top="1238" w:right="659" w:bottom="1440" w:gutter="0" w:footer="0" w:header="0"/>
        </w:sectPr>
      </w:pPr>
    </w:p>
    <w:bookmarkStart w:id="62" w:name="page63"/>
    <w:bookmarkEnd w:id="62"/>
    <w:p>
      <w:pPr>
        <w:jc w:val="both"/>
        <w:ind w:left="568"/>
        <w:spacing w:after="0" w:line="258" w:lineRule="auto"/>
        <w:rPr>
          <w:sz w:val="20"/>
          <w:szCs w:val="20"/>
          <w:color w:val="auto"/>
        </w:rPr>
      </w:pPr>
      <w:r>
        <w:rPr>
          <w:rFonts w:ascii="Times New Roman" w:cs="Times New Roman" w:eastAsia="Times New Roman" w:hAnsi="Times New Roman"/>
          <w:sz w:val="18"/>
          <w:szCs w:val="18"/>
          <w:color w:val="auto"/>
        </w:rPr>
        <w:t>aggregation with Wells Fargo for purposes of the “beneficial ownership” test under Section 13 of the Exchange Act, or any “group” (within the meaning of Section 13 of the Exchange Act) of which Wells Fargo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220" w:lineRule="exact"/>
        <w:rPr>
          <w:sz w:val="20"/>
          <w:szCs w:val="20"/>
          <w:color w:val="auto"/>
        </w:rPr>
      </w:pPr>
    </w:p>
    <w:p>
      <w:pPr>
        <w:jc w:val="both"/>
        <w:ind w:left="568"/>
        <w:spacing w:after="0" w:line="259"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Wells Fargo and any person whose ownership position would be aggregated with that of Wells Fargo (Wells Fargo or any such person, a “</w:t>
      </w:r>
      <w:r>
        <w:rPr>
          <w:rFonts w:ascii="Times New Roman" w:cs="Times New Roman" w:eastAsia="Times New Roman" w:hAnsi="Times New Roman"/>
          <w:sz w:val="18"/>
          <w:szCs w:val="18"/>
          <w:b w:val="1"/>
          <w:bCs w:val="1"/>
          <w:color w:val="auto"/>
        </w:rPr>
        <w:t>Wells Fargo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Wells Fargo in its reasonable discretion.</w:t>
      </w:r>
    </w:p>
    <w:p>
      <w:pPr>
        <w:spacing w:after="0" w:line="206" w:lineRule="exact"/>
        <w:rPr>
          <w:sz w:val="20"/>
          <w:szCs w:val="20"/>
          <w:color w:val="auto"/>
        </w:rPr>
      </w:pPr>
    </w:p>
    <w:p>
      <w:pPr>
        <w:jc w:val="both"/>
        <w:ind w:left="568"/>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or other requirements (including obtaining prior approval from any person or entity) of a Wells Fargo Person, under any Applicable Restriction (other than Section 13 and Section 16 of the Exchange Act), as determined by Wells Fargo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217" w:lineRule="exact"/>
        <w:rPr>
          <w:sz w:val="20"/>
          <w:szCs w:val="20"/>
          <w:color w:val="auto"/>
        </w:rPr>
      </w:pPr>
    </w:p>
    <w:p>
      <w:pPr>
        <w:ind w:left="648" w:hanging="647"/>
        <w:spacing w:after="0"/>
        <w:tabs>
          <w:tab w:leader="none" w:pos="648"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Delivery of Cash</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010000"/>
        </w:rPr>
      </w:pPr>
    </w:p>
    <w:p>
      <w:pPr>
        <w:jc w:val="both"/>
        <w:ind w:left="648"/>
        <w:spacing w:after="0" w:line="258"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the avoidance of doubt, other than payment of the Prepayment Amount by Counterparty, nothing in this Confirmation shall be interpreted as requiring Counterparty to cash settle the Transaction, except in circumstances where cash settlement is within Counterparty’s control (including, without limitation, where Counterparty timely elects not to receive or deliver Alternative Termination Delivery Units in accordance with the terms hereof) or in those circumstances in which holders of the Shares would also receive cash.</w:t>
      </w:r>
    </w:p>
    <w:p>
      <w:pPr>
        <w:spacing w:after="0" w:line="206" w:lineRule="exact"/>
        <w:rPr>
          <w:rFonts w:ascii="Times New Roman" w:cs="Times New Roman" w:eastAsia="Times New Roman" w:hAnsi="Times New Roman"/>
          <w:sz w:val="18"/>
          <w:szCs w:val="18"/>
          <w:color w:val="010000"/>
        </w:rPr>
      </w:pPr>
    </w:p>
    <w:p>
      <w:pPr>
        <w:ind w:left="648" w:hanging="648"/>
        <w:spacing w:after="0"/>
        <w:tabs>
          <w:tab w:leader="none" w:pos="648"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010000"/>
        </w:rPr>
      </w:pPr>
    </w:p>
    <w:p>
      <w:pPr>
        <w:ind w:left="648" w:hanging="647"/>
        <w:spacing w:after="0"/>
        <w:tabs>
          <w:tab w:leader="none" w:pos="648"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Calculations and Payment Date upon Early Termination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8"/>
          <w:szCs w:val="18"/>
          <w:color w:val="auto"/>
        </w:rPr>
        <w:t>The parties acknowledge and agree that in calculating (a) the Close-Out Amount pursuant to Section 6 of the Master Agreement and</w:t>
      </w:r>
    </w:p>
    <w:p>
      <w:pPr>
        <w:spacing w:after="0" w:line="27" w:lineRule="exact"/>
        <w:rPr>
          <w:sz w:val="20"/>
          <w:szCs w:val="20"/>
          <w:color w:val="auto"/>
        </w:rPr>
      </w:pPr>
    </w:p>
    <w:p>
      <w:pPr>
        <w:jc w:val="both"/>
        <w:ind w:left="568" w:hanging="1"/>
        <w:spacing w:after="0" w:line="251" w:lineRule="auto"/>
        <w:tabs>
          <w:tab w:leader="none" w:pos="83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due upon cancellation or termination of the Transaction (whether in whole or in part) pursuant to Article 12 of the Equity Definitions as a result of an Extraordinary Event, Wells Fargo may (but need not) determine such amount based on (i) expected losses assuming a commercially reasonable (including, without limitation, with regard to reasonable legal and regulatory guidelines) risk bid were used to determine loss or (ii) the price at which one or more market participants would offer to sell to Wells Fargo a block of Shares equal in number to Wells Fargo’s hedge position in relation to the Transaction. Notwithstanding anything to the contrary in Section 6(d)(ii) of the Master Agreement or Article 12 of the Equity Definitions, all amounts calculated as being due in respect of an Early Termination Date under Section 6(e) of the Master Agreement or upon cancellation or termination of the Transaction under Article 12 of the Equity Definitions will be payable on the day that notice of the amount payable is effective;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Counterparty elects to receive or deliver Shares or Alternative Termination Property in accordance with the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opposite the caption “Alternative Termination Settlement” above, such Shares or Alternative Termination Property shall be delivered on a date selected by Wells Fargo as promptly as practicable.</w:t>
      </w:r>
    </w:p>
    <w:p>
      <w:pPr>
        <w:spacing w:after="0" w:line="228" w:lineRule="exact"/>
        <w:rPr>
          <w:rFonts w:ascii="Times New Roman" w:cs="Times New Roman" w:eastAsia="Times New Roman" w:hAnsi="Times New Roman"/>
          <w:sz w:val="18"/>
          <w:szCs w:val="18"/>
          <w:color w:val="auto"/>
        </w:rPr>
      </w:pPr>
    </w:p>
    <w:p>
      <w:pPr>
        <w:ind w:left="648" w:hanging="647"/>
        <w:spacing w:after="0"/>
        <w:tabs>
          <w:tab w:leader="none" w:pos="648" w:val="left"/>
        </w:tabs>
        <w:numPr>
          <w:ilvl w:val="0"/>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68" w:right="40"/>
        <w:spacing w:after="0" w:line="258" w:lineRule="auto"/>
        <w:rPr>
          <w:sz w:val="20"/>
          <w:szCs w:val="20"/>
          <w:color w:val="auto"/>
        </w:rPr>
      </w:pPr>
      <w:r>
        <w:rPr>
          <w:rFonts w:ascii="Times New Roman" w:cs="Times New Roman" w:eastAsia="Times New Roman" w:hAnsi="Times New Roman"/>
          <w:sz w:val="18"/>
          <w:szCs w:val="18"/>
          <w:color w:val="auto"/>
        </w:rPr>
        <w:t>For the avoidance of doubt, whenever Wells Fargo, the Calculation Agent or the Determining Party is called upon to make an adjustment or determination pursuant to the terms of this Confirmation or the Equity Definitions to take into account the effect of an event, Wells Fargo, the Calculation Agent or the Determining Party, as the case may be, shall make such adjustment or determination by reference to the effect of such event on the Hedging Party, assuming that the Hedging Party maintains a commercially reasonable Hedge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47"/>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88"/>
          </w:cols>
          <w:pgMar w:left="732" w:top="1242" w:right="979" w:bottom="1440" w:gutter="0" w:footer="0" w:header="0"/>
        </w:sectPr>
      </w:pPr>
    </w:p>
    <w:bookmarkStart w:id="63" w:name="page64"/>
    <w:bookmarkEnd w:id="63"/>
    <w:p>
      <w:pPr>
        <w:jc w:val="both"/>
        <w:ind w:left="567" w:right="80"/>
        <w:spacing w:after="0" w:line="254" w:lineRule="auto"/>
        <w:rPr>
          <w:sz w:val="20"/>
          <w:szCs w:val="20"/>
          <w:color w:val="auto"/>
        </w:rPr>
      </w:pPr>
      <w:r>
        <w:rPr>
          <w:rFonts w:ascii="Times New Roman" w:cs="Times New Roman" w:eastAsia="Times New Roman" w:hAnsi="Times New Roman"/>
          <w:sz w:val="18"/>
          <w:szCs w:val="18"/>
          <w:color w:val="auto"/>
        </w:rPr>
        <w:t>Position at the time of the event. All calculations, adjustments and determinations made by Wells Fargo, whether as Calculation Agent, as Determining Party, as Hedging Party (other than, for the avoidance of doubt, in making any election as Determining Party or Hedging Party) or following the occurrence of an Early Termination Date shall be made in a good faith and commercially reasonable manner. Following any calculation, adjustment or determination by Wells Fargo hereunder (including, without limitation, in its capacity as Calculation Agent), Wells Fargo will, within five Exchange Business Days of a request by Counterparty, deliver to Counterparty a report in a commonly used file format for the storage and manipulation of financial data (including the methodology, interest rates, quotations and market data (including volatility) but without disclosing any proprietary or confidential models or other proprietary or confidential information) displaying in reasonable detail the basis for such determination, adjustment or calculation, as the case may be.</w:t>
      </w:r>
    </w:p>
    <w:p>
      <w:pPr>
        <w:spacing w:after="0" w:line="225" w:lineRule="exact"/>
        <w:rPr>
          <w:sz w:val="20"/>
          <w:szCs w:val="20"/>
          <w:color w:val="auto"/>
        </w:rPr>
      </w:pPr>
    </w:p>
    <w:p>
      <w:pPr>
        <w:ind w:left="647" w:hanging="647"/>
        <w:spacing w:after="0"/>
        <w:tabs>
          <w:tab w:leader="none" w:pos="647" w:val="left"/>
        </w:tabs>
        <w:numPr>
          <w:ilvl w:val="0"/>
          <w:numId w:val="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Amendments to the Equity Definitions.</w:t>
      </w:r>
    </w:p>
    <w:p>
      <w:pPr>
        <w:spacing w:after="0" w:line="256" w:lineRule="exact"/>
        <w:rPr>
          <w:rFonts w:ascii="Times New Roman" w:cs="Times New Roman" w:eastAsia="Times New Roman" w:hAnsi="Times New Roman"/>
          <w:sz w:val="18"/>
          <w:szCs w:val="18"/>
          <w:b w:val="1"/>
          <w:bCs w:val="1"/>
          <w:color w:val="010000"/>
        </w:rPr>
      </w:pPr>
    </w:p>
    <w:p>
      <w:pPr>
        <w:ind w:left="1207" w:right="100" w:hanging="641"/>
        <w:spacing w:after="0" w:line="282" w:lineRule="auto"/>
        <w:tabs>
          <w:tab w:leader="none" w:pos="1203"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11.2(a) of the Equity Definitions is hereby amended by deleting the words “a diluting or concentrative” and replacing them with the word “an”; and adding the phrase “or such Transaction” at the end of the sentence.</w:t>
      </w:r>
    </w:p>
    <w:p>
      <w:pPr>
        <w:spacing w:after="0" w:line="202" w:lineRule="exact"/>
        <w:rPr>
          <w:rFonts w:ascii="Times New Roman" w:cs="Times New Roman" w:eastAsia="Times New Roman" w:hAnsi="Times New Roman"/>
          <w:sz w:val="18"/>
          <w:szCs w:val="18"/>
          <w:color w:val="010000"/>
        </w:rPr>
      </w:pPr>
    </w:p>
    <w:p>
      <w:pPr>
        <w:jc w:val="both"/>
        <w:ind w:left="1207" w:right="80" w:hanging="641"/>
        <w:spacing w:after="0" w:line="254" w:lineRule="auto"/>
        <w:tabs>
          <w:tab w:leader="none" w:pos="1201"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11.2(c) of the Equity Definitions is hereby amended by (i) replacing the words “a diluting or concentrative” with “an” in the fifth line thereof, (ii) adding the phrase “or such Transaction” after the words “the relevant Shares” in the same sentence, (iii) deleting the words “dilutive or concentrative” in the sixth to last line thereof, and (iv) deleting the phrase “(provided that no adjustments will be made to account solely for changes in volatility, expected dividends, stock loan rate or liquidity relative to the relevant Shares)” and replacing it with the phrase “(and, for the avoidance of doubt, except in the case of a Potential Adjustment Event as described in Section 11.2(e)(i), Section 11.2(e)(ii)(A), Section 11.2(e)(ii)(B) or Section 11.2(e)(iv), adjustments may be made to account solely for changes in volatility, expected dividends, stock loan rate or liquidity relative to the relevant Shares) in the case of a Potential Adjustment Event as described in Section 11.2(e)(i), Section 11.2(e)(ii)(A), Section 11.2(e)(ii)(B) or Section 11.2(e)(iv), no such adjustments will be made.”</w:t>
      </w:r>
    </w:p>
    <w:p>
      <w:pPr>
        <w:spacing w:after="0" w:line="228" w:lineRule="exact"/>
        <w:rPr>
          <w:rFonts w:ascii="Times New Roman" w:cs="Times New Roman" w:eastAsia="Times New Roman" w:hAnsi="Times New Roman"/>
          <w:sz w:val="18"/>
          <w:szCs w:val="18"/>
          <w:color w:val="010000"/>
        </w:rPr>
      </w:pPr>
    </w:p>
    <w:p>
      <w:pPr>
        <w:ind w:left="1207" w:right="100" w:hanging="641"/>
        <w:spacing w:after="0" w:line="282" w:lineRule="auto"/>
        <w:tabs>
          <w:tab w:leader="none" w:pos="1203"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11.2(e)(vii) of the Equity Definitions is hereby amended by deleting the words “a diluting or concentrative” and replacing them with the word “a material”; and adding the phrase “or the relevant Transaction” at the end of the sentence.</w:t>
      </w:r>
    </w:p>
    <w:p>
      <w:pPr>
        <w:spacing w:after="0" w:line="188" w:lineRule="exact"/>
        <w:rPr>
          <w:rFonts w:ascii="Times New Roman" w:cs="Times New Roman" w:eastAsia="Times New Roman" w:hAnsi="Times New Roman"/>
          <w:sz w:val="18"/>
          <w:szCs w:val="18"/>
          <w:color w:val="010000"/>
        </w:rPr>
      </w:pPr>
    </w:p>
    <w:p>
      <w:pPr>
        <w:ind w:left="1207" w:hanging="640"/>
        <w:spacing w:after="0"/>
        <w:tabs>
          <w:tab w:leader="none" w:pos="1207" w:val="left"/>
        </w:tabs>
        <w:numPr>
          <w:ilvl w:val="1"/>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12.9(b)(iv) of the Equity Definitions is hereby amended by:</w:t>
      </w:r>
    </w:p>
    <w:p>
      <w:pPr>
        <w:spacing w:after="0" w:line="265" w:lineRule="exact"/>
        <w:rPr>
          <w:rFonts w:ascii="Times New Roman" w:cs="Times New Roman" w:eastAsia="Times New Roman" w:hAnsi="Times New Roman"/>
          <w:sz w:val="18"/>
          <w:szCs w:val="18"/>
          <w:color w:val="010000"/>
        </w:rPr>
      </w:pPr>
    </w:p>
    <w:p>
      <w:pPr>
        <w:ind w:left="1867" w:right="320" w:hanging="653"/>
        <w:spacing w:after="0" w:line="282" w:lineRule="auto"/>
        <w:tabs>
          <w:tab w:leader="none" w:pos="1860"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deleting (1) subsection (A) in its entirety, (2) the phrase “or (B)” following subsection (A) and (3) the phrase “in each case” in subsection (B); and</w:t>
      </w:r>
    </w:p>
    <w:p>
      <w:pPr>
        <w:spacing w:after="0" w:line="188" w:lineRule="exact"/>
        <w:rPr>
          <w:rFonts w:ascii="Times New Roman" w:cs="Times New Roman" w:eastAsia="Times New Roman" w:hAnsi="Times New Roman"/>
          <w:sz w:val="18"/>
          <w:szCs w:val="18"/>
          <w:color w:val="010000"/>
        </w:rPr>
      </w:pPr>
    </w:p>
    <w:p>
      <w:pPr>
        <w:ind w:left="1867" w:right="380" w:hanging="653"/>
        <w:spacing w:after="0" w:line="282" w:lineRule="auto"/>
        <w:tabs>
          <w:tab w:leader="none" w:pos="1856" w:val="left"/>
        </w:tabs>
        <w:numPr>
          <w:ilvl w:val="2"/>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replacing the phrase “neither the Non-Hedging Party nor the Lending Party lends Shares” with the phrase “such Lending Party does not lend Shares” in the penultimate sentence.</w:t>
      </w:r>
    </w:p>
    <w:p>
      <w:pPr>
        <w:spacing w:after="0" w:line="198" w:lineRule="exact"/>
        <w:rPr>
          <w:rFonts w:ascii="Times New Roman" w:cs="Times New Roman" w:eastAsia="Times New Roman" w:hAnsi="Times New Roman"/>
          <w:sz w:val="18"/>
          <w:szCs w:val="18"/>
          <w:color w:val="010000"/>
        </w:rPr>
      </w:pPr>
    </w:p>
    <w:p>
      <w:pPr>
        <w:ind w:left="647" w:hanging="647"/>
        <w:spacing w:after="0"/>
        <w:tabs>
          <w:tab w:leader="none" w:pos="647" w:val="left"/>
        </w:tabs>
        <w:numPr>
          <w:ilvl w:val="0"/>
          <w:numId w:val="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Wall Street Transparency and Accountability Act</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010000"/>
        </w:rPr>
      </w:pPr>
    </w:p>
    <w:p>
      <w:pPr>
        <w:jc w:val="both"/>
        <w:ind w:left="647"/>
        <w:spacing w:after="0" w:line="255"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nor any similar legal certainty provision in any legislation enacted, or rule or regulation promulgated, on or after the date of this Confirmation, shall limit or otherwise impair either party’s otherwise applicable rights to terminate, renegotiate, modify, amend or supplement this Confirmation or the Master Agreement, as applicable, arising from a termination event, force majeure, illegality, increased costs, regulatory change or similar event under this Confirmation, the Equity Definitions incorporated herein, or the Master Agreement (including, without limitation, rights arising from Change in Law, Loss of Stock Borrow, Increased Cost of Stock Borrow, Hedging Disruption, Increased Cost of Hedging, or Illegality).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6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67"/>
          </w:cols>
          <w:pgMar w:left="733" w:top="1242" w:right="899" w:bottom="1440" w:gutter="0" w:footer="0" w:header="0"/>
        </w:sectPr>
      </w:pPr>
    </w:p>
    <w:bookmarkStart w:id="64" w:name="page65"/>
    <w:bookmarkEnd w:id="64"/>
    <w:p>
      <w:pPr>
        <w:ind w:left="648" w:hanging="647"/>
        <w:spacing w:after="0"/>
        <w:tabs>
          <w:tab w:leader="none" w:pos="648"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US QFC Stay Rules.</w:t>
      </w:r>
    </w:p>
    <w:p>
      <w:pPr>
        <w:spacing w:after="0" w:line="25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8"/>
          <w:szCs w:val="18"/>
          <w:color w:val="auto"/>
        </w:rPr>
        <w:t>The parties agree that (i) to the extent that prior to the date hereof all parties have adhered to the ISDA 2018</w:t>
      </w:r>
    </w:p>
    <w:p>
      <w:pPr>
        <w:spacing w:after="0" w:line="27" w:lineRule="exact"/>
        <w:rPr>
          <w:sz w:val="20"/>
          <w:szCs w:val="20"/>
          <w:color w:val="auto"/>
        </w:rPr>
      </w:pPr>
    </w:p>
    <w:p>
      <w:pPr>
        <w:jc w:val="both"/>
        <w:ind w:left="568"/>
        <w:spacing w:after="0" w:line="251" w:lineRule="auto"/>
        <w:rPr>
          <w:sz w:val="20"/>
          <w:szCs w:val="20"/>
          <w:color w:val="auto"/>
        </w:rPr>
      </w:pPr>
      <w:r>
        <w:rPr>
          <w:rFonts w:ascii="Times New Roman" w:cs="Times New Roman" w:eastAsia="Times New Roman" w:hAnsi="Times New Roman"/>
          <w:sz w:val="18"/>
          <w:szCs w:val="18"/>
          <w:color w:val="auto"/>
        </w:rPr>
        <w:t>U.S. Resolution Stay Protocol (the “</w:t>
      </w:r>
      <w:r>
        <w:rPr>
          <w:rFonts w:ascii="Times New Roman" w:cs="Times New Roman" w:eastAsia="Times New Roman" w:hAnsi="Times New Roman"/>
          <w:sz w:val="18"/>
          <w:szCs w:val="18"/>
          <w:u w:val="single" w:color="auto"/>
          <w:color w:val="auto"/>
        </w:rPr>
        <w:t>Protocol</w:t>
      </w:r>
      <w:r>
        <w:rPr>
          <w:rFonts w:ascii="Times New Roman" w:cs="Times New Roman" w:eastAsia="Times New Roman" w:hAnsi="Times New Roman"/>
          <w:sz w:val="18"/>
          <w:szCs w:val="18"/>
          <w:color w:val="auto"/>
        </w:rPr>
        <w:t>”),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u w:val="single" w:color="auto"/>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u w:val="single" w:color="auto"/>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ISDA 2018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Dealer shall be deemed “Covered Entities” and nCino, Inc. shall be deemed a “Counterparty Entity.” In the event that, after the date of this Agreement, all parties hereto become adhering parties to the Protocol, the terms of the Protocol will replace the terms of this section. In the event of any inconsistencies between this Agreement and the terms of the Protocol, the Bilateral Agreement or the Bilateral Terms (each, the “</w:t>
      </w:r>
      <w:r>
        <w:rPr>
          <w:rFonts w:ascii="Times New Roman" w:cs="Times New Roman" w:eastAsia="Times New Roman" w:hAnsi="Times New Roman"/>
          <w:sz w:val="18"/>
          <w:szCs w:val="18"/>
          <w:u w:val="single" w:color="auto"/>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w:t>
      </w:r>
    </w:p>
    <w:p>
      <w:pPr>
        <w:spacing w:after="0" w:line="22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QFC Stay Rules</w:t>
      </w:r>
      <w:r>
        <w:rPr>
          <w:rFonts w:ascii="Times New Roman" w:cs="Times New Roman" w:eastAsia="Times New Roman" w:hAnsi="Times New Roman"/>
          <w:sz w:val="18"/>
          <w:szCs w:val="18"/>
          <w:color w:val="auto"/>
        </w:rPr>
        <w:t>” means the regulations codified at 12 C.F.R. 252.2, 252.81–8, 12 C.F.R. 382.1-7 and 12</w:t>
      </w:r>
    </w:p>
    <w:p>
      <w:pPr>
        <w:spacing w:after="0" w:line="18" w:lineRule="exact"/>
        <w:rPr>
          <w:sz w:val="20"/>
          <w:szCs w:val="20"/>
          <w:color w:val="auto"/>
        </w:rPr>
      </w:pPr>
    </w:p>
    <w:p>
      <w:pPr>
        <w:jc w:val="both"/>
        <w:ind w:left="568"/>
        <w:spacing w:after="0" w:line="253" w:lineRule="auto"/>
        <w:rPr>
          <w:sz w:val="20"/>
          <w:szCs w:val="20"/>
          <w:color w:val="auto"/>
        </w:rPr>
      </w:pPr>
      <w:r>
        <w:rPr>
          <w:rFonts w:ascii="Times New Roman" w:cs="Times New Roman" w:eastAsia="Times New Roman" w:hAnsi="Times New Roman"/>
          <w:sz w:val="18"/>
          <w:szCs w:val="18"/>
          <w:color w:val="auto"/>
        </w:rPr>
        <w:t>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210" w:lineRule="exact"/>
        <w:rPr>
          <w:sz w:val="20"/>
          <w:szCs w:val="20"/>
          <w:color w:val="auto"/>
        </w:rPr>
      </w:pPr>
    </w:p>
    <w:p>
      <w:pPr>
        <w:ind w:left="648" w:hanging="648"/>
        <w:spacing w:after="0"/>
        <w:tabs>
          <w:tab w:leader="none" w:pos="648" w:val="left"/>
        </w:tabs>
        <w:numPr>
          <w:ilvl w:val="0"/>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Tax Provisions.</w:t>
      </w:r>
    </w:p>
    <w:p>
      <w:pPr>
        <w:spacing w:after="0" w:line="269" w:lineRule="exact"/>
        <w:rPr>
          <w:rFonts w:ascii="Times New Roman" w:cs="Times New Roman" w:eastAsia="Times New Roman" w:hAnsi="Times New Roman"/>
          <w:sz w:val="18"/>
          <w:szCs w:val="18"/>
          <w:b w:val="1"/>
          <w:bCs w:val="1"/>
          <w:color w:val="010000"/>
        </w:rPr>
      </w:pPr>
    </w:p>
    <w:p>
      <w:pPr>
        <w:ind w:left="1208" w:right="440" w:hanging="641"/>
        <w:spacing w:after="0" w:line="282" w:lineRule="auto"/>
        <w:tabs>
          <w:tab w:leader="none" w:pos="1205" w:val="left"/>
        </w:tabs>
        <w:numPr>
          <w:ilvl w:val="1"/>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Payer Tax Representations. For the purpose of Section 3(e) of the Master Agreement, each of Dealer and Counterparty makes the following representation:</w:t>
      </w:r>
    </w:p>
    <w:p>
      <w:pPr>
        <w:spacing w:after="0" w:line="188" w:lineRule="exact"/>
        <w:rPr>
          <w:rFonts w:ascii="Times New Roman" w:cs="Times New Roman" w:eastAsia="Times New Roman" w:hAnsi="Times New Roman"/>
          <w:sz w:val="18"/>
          <w:szCs w:val="18"/>
          <w:color w:val="010000"/>
        </w:rPr>
      </w:pPr>
    </w:p>
    <w:p>
      <w:pPr>
        <w:jc w:val="both"/>
        <w:ind w:left="1868" w:hanging="654"/>
        <w:spacing w:after="0" w:line="253" w:lineRule="auto"/>
        <w:tabs>
          <w:tab w:leader="none" w:pos="1861" w:val="left"/>
        </w:tabs>
        <w:numPr>
          <w:ilvl w:val="2"/>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Master Agreement or amounts payable hereunder that may be considered to be interest for United States federal income tax purposes) to be made by it to the other party under the Master Agreement. In making this representation, it may rely on (i) the accuracy of any representations made by the other party pursuant to Section 3(f) of the Master Agreement, (ii) the satisfaction of the agreement contained in Section 4(a)(i) or Section 4(a)(iii) of the Master Agreement and the accuracy and effectiveness of any document provided by the other party pursuant to Section 4(a)(i) or Section 4(a)(iii) of the Master Agreement and (iii) the satisfaction of the agreement of the other party contained in Section 4(d) of the Master Agreement, except that it will not be a breach of this representation where reliance is placed on clause (ii) above and the other party does not deliver a form or document under Section 4(a)(iii) of the Master Agreement by reason of material prejudice to its legal or commercial position.</w:t>
      </w:r>
    </w:p>
    <w:p>
      <w:pPr>
        <w:spacing w:after="0" w:line="149" w:lineRule="exact"/>
        <w:rPr>
          <w:rFonts w:ascii="Times New Roman" w:cs="Times New Roman" w:eastAsia="Times New Roman" w:hAnsi="Times New Roman"/>
          <w:sz w:val="18"/>
          <w:szCs w:val="18"/>
          <w:color w:val="010000"/>
        </w:rPr>
      </w:pPr>
    </w:p>
    <w:p>
      <w:pPr>
        <w:ind w:left="1208" w:hanging="642"/>
        <w:spacing w:after="0"/>
        <w:tabs>
          <w:tab w:leader="none" w:pos="120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Payee Tax Representations. For the purpose of Section 3(f) of the Master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7"/>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188"/>
          </w:cols>
          <w:pgMar w:left="732" w:top="1238" w:right="979" w:bottom="1440" w:gutter="0" w:footer="0" w:header="0"/>
        </w:sectPr>
      </w:pPr>
    </w:p>
    <w:bookmarkStart w:id="65" w:name="page66"/>
    <w:bookmarkEnd w:id="65"/>
    <w:p>
      <w:pPr>
        <w:ind w:left="1847" w:hanging="633"/>
        <w:spacing w:after="0"/>
        <w:tabs>
          <w:tab w:leader="none" w:pos="1847"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Dealer makes the following representations:</w:t>
      </w:r>
    </w:p>
    <w:p>
      <w:pPr>
        <w:spacing w:after="0" w:line="252" w:lineRule="exact"/>
        <w:rPr>
          <w:sz w:val="20"/>
          <w:szCs w:val="20"/>
          <w:color w:val="auto"/>
        </w:rPr>
      </w:pPr>
    </w:p>
    <w:p>
      <w:pPr>
        <w:ind w:left="2507" w:right="540"/>
        <w:spacing w:after="0" w:line="282" w:lineRule="auto"/>
        <w:rPr>
          <w:sz w:val="20"/>
          <w:szCs w:val="20"/>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202" w:lineRule="exact"/>
        <w:rPr>
          <w:sz w:val="20"/>
          <w:szCs w:val="20"/>
          <w:color w:val="auto"/>
        </w:rPr>
      </w:pPr>
    </w:p>
    <w:p>
      <w:pPr>
        <w:ind w:left="1847" w:hanging="632"/>
        <w:spacing w:after="0"/>
        <w:tabs>
          <w:tab w:leader="none" w:pos="1847"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Counterparty makes the following representation:</w:t>
      </w:r>
    </w:p>
    <w:p>
      <w:pPr>
        <w:spacing w:after="0" w:line="266" w:lineRule="exact"/>
        <w:rPr>
          <w:sz w:val="20"/>
          <w:szCs w:val="20"/>
          <w:color w:val="auto"/>
        </w:rPr>
      </w:pPr>
    </w:p>
    <w:p>
      <w:pPr>
        <w:ind w:left="2507" w:right="540"/>
        <w:spacing w:after="0" w:line="282" w:lineRule="auto"/>
        <w:rPr>
          <w:sz w:val="20"/>
          <w:szCs w:val="20"/>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202" w:lineRule="exact"/>
        <w:rPr>
          <w:sz w:val="20"/>
          <w:szCs w:val="20"/>
          <w:color w:val="auto"/>
        </w:rPr>
      </w:pPr>
    </w:p>
    <w:p>
      <w:pPr>
        <w:jc w:val="both"/>
        <w:ind w:left="1207" w:hanging="641"/>
        <w:spacing w:after="0" w:line="254" w:lineRule="auto"/>
        <w:tabs>
          <w:tab w:leader="none" w:pos="1204"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Withholding Tax imposed on payments to non-US counterparties under the United States Foreign Account Tax Compliance Act. “Tax” as used in Section 19(a)(i) (Payer Representations) and “Indemnifiable Tax” as defined in Section 14 of the Master Agreement, shall not include any U.S. federal withholding tax imposed or collected pursuant to Sections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Master Agreement.</w:t>
      </w:r>
    </w:p>
    <w:p>
      <w:pPr>
        <w:spacing w:after="0" w:line="215" w:lineRule="exact"/>
        <w:rPr>
          <w:rFonts w:ascii="Times New Roman" w:cs="Times New Roman" w:eastAsia="Times New Roman" w:hAnsi="Times New Roman"/>
          <w:sz w:val="18"/>
          <w:szCs w:val="18"/>
          <w:color w:val="010000"/>
        </w:rPr>
      </w:pPr>
    </w:p>
    <w:p>
      <w:pPr>
        <w:ind w:left="1207" w:hanging="640"/>
        <w:spacing w:after="0"/>
        <w:tabs>
          <w:tab w:leader="none" w:pos="1207" w:val="left"/>
        </w:tabs>
        <w:numPr>
          <w:ilvl w:val="1"/>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Tax Documentation. For the purposes of Section 4(a)(i) of the Master Agreement:</w:t>
      </w:r>
    </w:p>
    <w:p>
      <w:pPr>
        <w:spacing w:after="0" w:line="265" w:lineRule="exact"/>
        <w:rPr>
          <w:rFonts w:ascii="Times New Roman" w:cs="Times New Roman" w:eastAsia="Times New Roman" w:hAnsi="Times New Roman"/>
          <w:sz w:val="18"/>
          <w:szCs w:val="18"/>
          <w:color w:val="010000"/>
        </w:rPr>
      </w:pPr>
    </w:p>
    <w:p>
      <w:pPr>
        <w:ind w:left="1867" w:right="20" w:hanging="653"/>
        <w:spacing w:after="0" w:line="261" w:lineRule="auto"/>
        <w:tabs>
          <w:tab w:leader="none" w:pos="1860" w:val="left"/>
        </w:tabs>
        <w:numPr>
          <w:ilvl w:val="2"/>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Dealer agrees to provide to Counterparty with a completed and signed U.S. Internal Revenue Service Form W-9, or any successor form, and any required attachments thereto</w:t>
      </w:r>
    </w:p>
    <w:p>
      <w:pPr>
        <w:ind w:left="2087" w:hanging="224"/>
        <w:spacing w:after="0"/>
        <w:tabs>
          <w:tab w:leader="none" w:pos="2087"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for any Transaction, (ii) promptly upon reasonable demand by Counterparty and</w:t>
      </w:r>
    </w:p>
    <w:p>
      <w:pPr>
        <w:spacing w:after="0" w:line="9" w:lineRule="exact"/>
        <w:rPr>
          <w:rFonts w:ascii="Times New Roman" w:cs="Times New Roman" w:eastAsia="Times New Roman" w:hAnsi="Times New Roman"/>
          <w:sz w:val="18"/>
          <w:szCs w:val="18"/>
          <w:color w:val="auto"/>
        </w:rPr>
      </w:pPr>
    </w:p>
    <w:p>
      <w:pPr>
        <w:ind w:left="1867" w:right="20" w:hanging="4"/>
        <w:spacing w:after="0" w:line="260" w:lineRule="auto"/>
        <w:tabs>
          <w:tab w:leader="none" w:pos="2224"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learning that any such tax form previously provided by Dealer has become obsolete or incorrect.</w:t>
      </w:r>
    </w:p>
    <w:p>
      <w:pPr>
        <w:spacing w:after="0" w:line="221" w:lineRule="exact"/>
        <w:rPr>
          <w:rFonts w:ascii="Times New Roman" w:cs="Times New Roman" w:eastAsia="Times New Roman" w:hAnsi="Times New Roman"/>
          <w:sz w:val="18"/>
          <w:szCs w:val="18"/>
          <w:color w:val="auto"/>
        </w:rPr>
      </w:pPr>
    </w:p>
    <w:p>
      <w:pPr>
        <w:ind w:left="1867" w:right="20" w:hanging="653"/>
        <w:spacing w:after="0" w:line="261" w:lineRule="auto"/>
        <w:tabs>
          <w:tab w:leader="none" w:pos="1857" w:val="left"/>
        </w:tabs>
        <w:numPr>
          <w:ilvl w:val="2"/>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Counterparty agrees to provide to Dealer with a completed and signed U.S. Internal Revenue Service Form W-9, or any successor form, and any required attachments thereto</w:t>
      </w:r>
    </w:p>
    <w:p>
      <w:pPr>
        <w:jc w:val="both"/>
        <w:ind w:left="1867" w:hanging="6"/>
        <w:spacing w:after="0" w:line="255" w:lineRule="auto"/>
        <w:tabs>
          <w:tab w:leader="none" w:pos="2101"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for any Transaction, (ii) promptly upon reasonable demand by Dealer and (iii) promptly upon learning that any such tax form previously provided by Counterparty has become obsolete or incorrect.</w:t>
      </w:r>
    </w:p>
    <w:p>
      <w:pPr>
        <w:spacing w:after="0" w:line="212" w:lineRule="exact"/>
        <w:rPr>
          <w:rFonts w:ascii="Times New Roman" w:cs="Times New Roman" w:eastAsia="Times New Roman" w:hAnsi="Times New Roman"/>
          <w:sz w:val="18"/>
          <w:szCs w:val="18"/>
          <w:color w:val="auto"/>
        </w:rPr>
      </w:pPr>
    </w:p>
    <w:p>
      <w:pPr>
        <w:jc w:val="both"/>
        <w:ind w:left="1207" w:hanging="641"/>
        <w:spacing w:after="0" w:line="256" w:lineRule="auto"/>
        <w:tabs>
          <w:tab w:leader="none" w:pos="1204"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provision in this Confirmation or the Master Agreement to the contrary, in connection with Section 1.6011-4 of the Treasury Regulations, the parties hereby agree that each party (and each employee, representative, or other agent of such party) may disclose to any and all persons, without limitation of any kind, the U.S. tax treatment and U.S. tax structure of this Transaction and all materials of any kind (including opinions or other tax analyses) that are provided to such party relating to such U.S. tax treatment and U.S. tax structure, other than any information for which nondisclosure is reasonably necessary to comply with applicable securities laws.</w:t>
      </w:r>
    </w:p>
    <w:p>
      <w:pPr>
        <w:spacing w:after="0" w:line="223" w:lineRule="exact"/>
        <w:rPr>
          <w:rFonts w:ascii="Times New Roman" w:cs="Times New Roman" w:eastAsia="Times New Roman" w:hAnsi="Times New Roman"/>
          <w:sz w:val="18"/>
          <w:szCs w:val="18"/>
          <w:color w:val="010000"/>
        </w:rPr>
      </w:pPr>
    </w:p>
    <w:p>
      <w:pPr>
        <w:ind w:left="647" w:hanging="647"/>
        <w:spacing w:after="0"/>
        <w:tabs>
          <w:tab w:leader="none" w:pos="647"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010000"/>
        </w:rPr>
      </w:pPr>
    </w:p>
    <w:p>
      <w:pPr>
        <w:jc w:val="both"/>
        <w:ind w:left="647" w:right="20"/>
        <w:spacing w:after="0" w:line="259"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WELLS FARGO OR ITS AFFILIATES IN THE NEGOTIATION, PERFORMANCE OR ENFORCEMENT HEREOF.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4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187"/>
          </w:cols>
          <w:pgMar w:left="733" w:top="1242" w:right="979" w:bottom="1440" w:gutter="0" w:footer="0" w:header="0"/>
        </w:sectPr>
      </w:pPr>
    </w:p>
    <w:bookmarkStart w:id="66" w:name="page67"/>
    <w:bookmarkEnd w:id="66"/>
    <w:p>
      <w:pPr>
        <w:spacing w:after="0" w:line="109" w:lineRule="exact"/>
        <w:rPr>
          <w:sz w:val="20"/>
          <w:szCs w:val="20"/>
          <w:color w:val="auto"/>
        </w:rPr>
      </w:pPr>
    </w:p>
    <w:p>
      <w:pPr>
        <w:ind w:left="647" w:hanging="647"/>
        <w:spacing w:after="0"/>
        <w:tabs>
          <w:tab w:leader="none" w:pos="647"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010000"/>
        </w:rPr>
      </w:pPr>
    </w:p>
    <w:p>
      <w:pPr>
        <w:jc w:val="both"/>
        <w:ind w:left="1207" w:hanging="641"/>
        <w:spacing w:after="0" w:line="254" w:lineRule="auto"/>
        <w:tabs>
          <w:tab w:leader="none" w:pos="1201" w:val="left"/>
        </w:tabs>
        <w:numPr>
          <w:ilvl w:val="1"/>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This Confirmation may be executed in any number of counterparts, all of which shall constitute one and the same instrument, and any party hereto may execute this Confirmation by signing and delivering one or more counterparts. Counterparts may be delivered via facsimile, electronic mail (including any electronic signature covered by the U.S. federal ESIGN Act of 2000, Uniform Electronic Transactions Act, the Electronic Signatures and Records Act or other applicable law, e.g., DocuSign (any such signature, an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Master Agreement.</w:t>
      </w:r>
    </w:p>
    <w:p>
      <w:pPr>
        <w:spacing w:after="0" w:line="215" w:lineRule="exact"/>
        <w:rPr>
          <w:rFonts w:ascii="Times New Roman" w:cs="Times New Roman" w:eastAsia="Times New Roman" w:hAnsi="Times New Roman"/>
          <w:sz w:val="18"/>
          <w:szCs w:val="18"/>
          <w:b w:val="1"/>
          <w:bCs w:val="1"/>
          <w:color w:val="010000"/>
        </w:rPr>
      </w:pPr>
    </w:p>
    <w:p>
      <w:pPr>
        <w:ind w:left="1207" w:right="20" w:hanging="641"/>
        <w:spacing w:after="0" w:line="282" w:lineRule="auto"/>
        <w:tabs>
          <w:tab w:leader="none" w:pos="1200"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to the contrary in the Master Agreement, either party may deliver to the other party a notice relating to any Event of Default or Termination Event under this Confirmation by email.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4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187"/>
          </w:cols>
          <w:pgMar w:left="733" w:top="1440" w:right="97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299"/>
        <w:spacing w:after="0" w:line="313" w:lineRule="auto"/>
        <w:rPr>
          <w:sz w:val="20"/>
          <w:szCs w:val="20"/>
          <w:color w:val="auto"/>
        </w:rPr>
      </w:pPr>
      <w:r>
        <w:rPr>
          <w:rFonts w:ascii="Times New Roman" w:cs="Times New Roman" w:eastAsia="Times New Roman" w:hAnsi="Times New Roman"/>
          <w:sz w:val="18"/>
          <w:szCs w:val="18"/>
          <w:color w:val="auto"/>
        </w:rPr>
        <w:t xml:space="preserve">Please confirm that the foregoing correctly sets forth the terms of our agreement by executing a copy of this Confirmation and returning it to </w:t>
      </w:r>
      <w:r>
        <w:rPr>
          <w:rFonts w:ascii="Times New Roman" w:cs="Times New Roman" w:eastAsia="Times New Roman" w:hAnsi="Times New Roman"/>
          <w:sz w:val="18"/>
          <w:szCs w:val="18"/>
          <w:b w:val="1"/>
          <w:bCs w:val="1"/>
          <w:u w:val="single" w:color="auto"/>
          <w:color w:val="auto"/>
        </w:rPr>
        <w:t>CorporateDerivativeNotifications@wellsfargo.com.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414655</wp:posOffset>
            </wp:positionV>
            <wp:extent cx="5460365" cy="2108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46036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WELLS FARGO BANK, NATIONAL</w:t>
            </w:r>
          </w:p>
        </w:tc>
        <w:tc>
          <w:tcPr>
            <w:tcW w:w="16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7"/>
              </w:rPr>
              <w:t>NCINO, INC.</w:t>
            </w:r>
          </w:p>
        </w:tc>
      </w:tr>
    </w:tbl>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Kevin Brillhart</w:t>
            </w: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w:t>
            </w:r>
          </w:p>
        </w:tc>
      </w:tr>
      <w:tr>
        <w:trPr>
          <w:trHeight w:val="189"/>
        </w:trPr>
        <w:tc>
          <w:tcPr>
            <w:tcW w:w="4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r>
      <w:tr>
        <w:trPr>
          <w:trHeight w:val="250"/>
        </w:trPr>
        <w:tc>
          <w:tcPr>
            <w:tcW w:w="42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Brillhart</w:t>
            </w:r>
          </w:p>
        </w:tc>
        <w:tc>
          <w:tcPr>
            <w:tcW w:w="88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r>
      <w:tr>
        <w:trPr>
          <w:trHeight w:val="445"/>
        </w:trPr>
        <w:tc>
          <w:tcPr>
            <w:tcW w:w="42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Managing Director</w:t>
            </w:r>
          </w:p>
        </w:tc>
        <w:tc>
          <w:tcPr>
            <w:tcW w:w="88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bl>
    <w:p>
      <w:pPr>
        <w:sectPr>
          <w:pgSz w:w="11900" w:h="16838" w:orient="portrait"/>
          <w:cols w:equalWidth="0" w:num="1">
            <w:col w:w="9079"/>
          </w:cols>
          <w:pgMar w:left="1380" w:top="1440"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99"/>
        <w:spacing w:after="0" w:line="313" w:lineRule="auto"/>
        <w:rPr>
          <w:sz w:val="20"/>
          <w:szCs w:val="20"/>
          <w:color w:val="auto"/>
        </w:rPr>
      </w:pPr>
      <w:r>
        <w:rPr>
          <w:rFonts w:ascii="Times New Roman" w:cs="Times New Roman" w:eastAsia="Times New Roman" w:hAnsi="Times New Roman"/>
          <w:sz w:val="18"/>
          <w:szCs w:val="18"/>
          <w:color w:val="auto"/>
        </w:rPr>
        <w:t xml:space="preserve">Please confirm that the foregoing correctly sets forth the terms of our agreement by executing a copy of this Confirmation and returning it to </w:t>
      </w:r>
      <w:r>
        <w:rPr>
          <w:rFonts w:ascii="Times New Roman" w:cs="Times New Roman" w:eastAsia="Times New Roman" w:hAnsi="Times New Roman"/>
          <w:sz w:val="18"/>
          <w:szCs w:val="18"/>
          <w:b w:val="1"/>
          <w:bCs w:val="1"/>
          <w:u w:val="single" w:color="auto"/>
          <w:color w:val="auto"/>
        </w:rPr>
        <w:t>CorporateDerivativeNotifications@wellsfargo.com.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414655</wp:posOffset>
            </wp:positionV>
            <wp:extent cx="5340350" cy="2108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3403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WELLS FARGO BANK, NATIONAL</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NCINO, INC.</w:t>
            </w:r>
          </w:p>
        </w:tc>
      </w:tr>
    </w:tbl>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189"/>
        </w:trPr>
        <w:tc>
          <w:tcPr>
            <w:tcW w:w="400" w:type="dxa"/>
            <w:vAlign w:val="bottom"/>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r>
      <w:tr>
        <w:trPr>
          <w:trHeight w:val="250"/>
        </w:trPr>
        <w:tc>
          <w:tcPr>
            <w:tcW w:w="40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6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445"/>
        </w:trPr>
        <w:tc>
          <w:tcPr>
            <w:tcW w:w="40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6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9079"/>
          </w:cols>
          <w:pgMar w:left="1380" w:top="1440" w:right="1440" w:bottom="1440" w:gutter="0" w:footer="0" w:header="0"/>
        </w:sectPr>
      </w:pPr>
    </w:p>
    <w:bookmarkStart w:id="69" w:name="page70"/>
    <w:bookmarkEnd w:id="69"/>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00" w:lineRule="exact"/>
        <w:rPr>
          <w:sz w:val="20"/>
          <w:szCs w:val="20"/>
          <w:color w:val="auto"/>
        </w:rPr>
      </w:pP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0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Prepayment Date:</w:t>
            </w:r>
          </w:p>
        </w:tc>
        <w:tc>
          <w:tcPr>
            <w:tcW w:w="6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Prepayment Amount:</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$100,000,000</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Initial Shares:</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5,547,850 Shares</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Scheduled Valuation Date: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29, 2026</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Earliest Acceleration Date: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29, 2026</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Calculation Period Start Date: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Forward Price Adjustment:</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$0.3908</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Ordinary Dividend Amount:</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Maximum Stock Loan Rate: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250 bps</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Initial Stock Loan Rate: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 bps</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Threshold Price:</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$4.76</w:t>
            </w:r>
          </w:p>
        </w:tc>
      </w:tr>
      <w:tr>
        <w:trPr>
          <w:trHeight w:val="198"/>
        </w:trPr>
        <w:tc>
          <w:tcPr>
            <w:tcW w:w="3000" w:type="dxa"/>
            <w:vAlign w:val="bottom"/>
            <w:tcBorders>
              <w:left w:val="single" w:sz="8" w:color="auto"/>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r>
      <w:tr>
        <w:trPr>
          <w:trHeight w:val="234"/>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Maximum Number of Shares:</w:t>
            </w:r>
          </w:p>
        </w:tc>
        <w:tc>
          <w:tcPr>
            <w:tcW w:w="6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34,674,060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Appendix A - Page 1</w:t>
      </w:r>
    </w:p>
    <w:p>
      <w:pPr>
        <w:sectPr>
          <w:pgSz w:w="11900" w:h="16838" w:orient="portrait"/>
          <w:cols w:equalWidth="0" w:num="1">
            <w:col w:w="10260"/>
          </w:cols>
          <w:pgMar w:left="660" w:top="1440" w:right="979" w:bottom="1440" w:gutter="0" w:footer="0" w:header="0"/>
        </w:sectPr>
      </w:pPr>
    </w:p>
    <w:bookmarkStart w:id="70" w:name="page71"/>
    <w:bookmarkEnd w:id="70"/>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5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u w:val="single" w:color="auto"/>
          <w:color w:val="auto"/>
        </w:rPr>
        <w:t>Counterparty Settlement Provisions</w:t>
      </w:r>
    </w:p>
    <w:p>
      <w:pPr>
        <w:spacing w:after="0" w:line="77" w:lineRule="exact"/>
        <w:rPr>
          <w:sz w:val="20"/>
          <w:szCs w:val="20"/>
          <w:color w:val="auto"/>
        </w:rPr>
      </w:pPr>
    </w:p>
    <w:p>
      <w:pPr>
        <w:ind w:left="640" w:right="720" w:hanging="324"/>
        <w:spacing w:after="0" w:line="313"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Counterparty Settlement Provisions shall apply to the Transaction to the extent indicated under the Confirmation: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Currency:</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44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7.1 of the Equity Definitions is</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Election:</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hereby amended by deleting the word “Physical” in the sixth line thereof</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 replacing it with the words “Net Share” and (ii) the Electing Party may</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make a settlement method election only if the Electing Party represents and</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warrants to Wells Fargo in writing on the date it notifies Wells Fargo of its</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election that, as of such date, the Electing Party is not aware of any</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material non-public information regarding Counterparty or the Shares and</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is electing the settlement method in good faith and not as part of a plan or</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scheme to evade compliance with the federal securities laws.</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Electing Party:</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Counterparty</w:t>
            </w:r>
          </w:p>
        </w:tc>
        <w:tc>
          <w:tcPr>
            <w:tcW w:w="0" w:type="dxa"/>
            <w:vAlign w:val="bottom"/>
          </w:tcPr>
          <w:p>
            <w:pPr>
              <w:spacing w:after="0"/>
              <w:rPr>
                <w:sz w:val="1"/>
                <w:szCs w:val="1"/>
                <w:color w:val="auto"/>
              </w:rPr>
            </w:pPr>
          </w:p>
        </w:tc>
      </w:tr>
      <w:tr>
        <w:trPr>
          <w:trHeight w:val="391"/>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earlier of (i) the Scheduled Valuation Date and (ii) the</w:t>
            </w:r>
          </w:p>
        </w:tc>
        <w:tc>
          <w:tcPr>
            <w:tcW w:w="0" w:type="dxa"/>
            <w:vAlign w:val="bottom"/>
          </w:tcPr>
          <w:p>
            <w:pPr>
              <w:spacing w:after="0"/>
              <w:rPr>
                <w:sz w:val="1"/>
                <w:szCs w:val="1"/>
                <w:color w:val="auto"/>
              </w:rPr>
            </w:pPr>
          </w:p>
        </w:tc>
      </w:tr>
      <w:tr>
        <w:trPr>
          <w:trHeight w:val="157"/>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Election Date:</w:t>
            </w:r>
          </w:p>
        </w:tc>
        <w:tc>
          <w:tcPr>
            <w:tcW w:w="6460" w:type="dxa"/>
            <w:vAlign w:val="bottom"/>
          </w:tcPr>
          <w:p>
            <w:pPr>
              <w:ind w:left="1020"/>
              <w:spacing w:after="0" w:line="157" w:lineRule="exact"/>
              <w:rPr>
                <w:sz w:val="20"/>
                <w:szCs w:val="20"/>
                <w:color w:val="auto"/>
              </w:rPr>
            </w:pPr>
            <w:r>
              <w:rPr>
                <w:rFonts w:ascii="Times New Roman" w:cs="Times New Roman" w:eastAsia="Times New Roman" w:hAnsi="Times New Roman"/>
                <w:sz w:val="18"/>
                <w:szCs w:val="18"/>
                <w:color w:val="auto"/>
              </w:rPr>
              <w:t>Exchange Business Day immediately following the Accelerated Valuation</w:t>
            </w:r>
          </w:p>
        </w:tc>
        <w:tc>
          <w:tcPr>
            <w:tcW w:w="0" w:type="dxa"/>
            <w:vAlign w:val="bottom"/>
          </w:tcPr>
          <w:p>
            <w:pPr>
              <w:spacing w:after="0"/>
              <w:rPr>
                <w:sz w:val="1"/>
                <w:szCs w:val="1"/>
                <w:color w:val="auto"/>
              </w:rPr>
            </w:pPr>
          </w:p>
        </w:tc>
      </w:tr>
      <w:tr>
        <w:trPr>
          <w:trHeight w:val="140"/>
        </w:trPr>
        <w:tc>
          <w:tcPr>
            <w:tcW w:w="2640" w:type="dxa"/>
            <w:vAlign w:val="bottom"/>
            <w:vMerge w:val="continue"/>
          </w:tcPr>
          <w:p>
            <w:pPr>
              <w:spacing w:after="0"/>
              <w:rPr>
                <w:sz w:val="12"/>
                <w:szCs w:val="12"/>
                <w:color w:val="auto"/>
              </w:rPr>
            </w:pPr>
          </w:p>
        </w:tc>
        <w:tc>
          <w:tcPr>
            <w:tcW w:w="6460" w:type="dxa"/>
            <w:vAlign w:val="bottom"/>
            <w:vMerge w:val="restart"/>
          </w:tcPr>
          <w:p>
            <w:pPr>
              <w:ind w:left="1020"/>
              <w:spacing w:after="0" w:line="181" w:lineRule="exact"/>
              <w:rPr>
                <w:sz w:val="20"/>
                <w:szCs w:val="20"/>
                <w:color w:val="auto"/>
              </w:rPr>
            </w:pPr>
            <w:r>
              <w:rPr>
                <w:rFonts w:ascii="Times New Roman" w:cs="Times New Roman" w:eastAsia="Times New Roman" w:hAnsi="Times New Roman"/>
                <w:sz w:val="18"/>
                <w:szCs w:val="18"/>
                <w:color w:val="auto"/>
              </w:rPr>
              <w:t>Date (in which case the election under Section 7.1 of the Equity</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6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6460" w:type="dxa"/>
            <w:vAlign w:val="bottom"/>
          </w:tcPr>
          <w:p>
            <w:pPr>
              <w:ind w:left="1020"/>
              <w:spacing w:after="0" w:line="176" w:lineRule="exact"/>
              <w:rPr>
                <w:sz w:val="20"/>
                <w:szCs w:val="20"/>
                <w:color w:val="auto"/>
              </w:rPr>
            </w:pPr>
            <w:r>
              <w:rPr>
                <w:rFonts w:ascii="Times New Roman" w:cs="Times New Roman" w:eastAsia="Times New Roman" w:hAnsi="Times New Roman"/>
                <w:sz w:val="18"/>
                <w:szCs w:val="18"/>
                <w:color w:val="auto"/>
              </w:rPr>
              <w:t>Definitions shall be made no later than 10 minutes prior to the open of</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6460" w:type="dxa"/>
            <w:vAlign w:val="bottom"/>
          </w:tcPr>
          <w:p>
            <w:pPr>
              <w:ind w:left="1020"/>
              <w:spacing w:after="0" w:line="184" w:lineRule="exact"/>
              <w:rPr>
                <w:sz w:val="20"/>
                <w:szCs w:val="20"/>
                <w:color w:val="auto"/>
              </w:rPr>
            </w:pPr>
            <w:r>
              <w:rPr>
                <w:rFonts w:ascii="Times New Roman" w:cs="Times New Roman" w:eastAsia="Times New Roman" w:hAnsi="Times New Roman"/>
                <w:sz w:val="18"/>
                <w:szCs w:val="18"/>
                <w:color w:val="auto"/>
              </w:rPr>
              <w:t>trading on the Exchange on such second Exchange Business Day), as the</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case may be.</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Default Settlement</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Cash Settlement</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Method:</w:t>
            </w:r>
          </w:p>
        </w:tc>
        <w:tc>
          <w:tcPr>
            <w:tcW w:w="6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Forward Cash</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 amount equal to (i) the Number of Shares to be Delivered, multiplied</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Amount:</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by (ii) the Cash Settlement Price.</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Price:</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 amount equal to the sum of the arithmetic average of the VWAP Prices</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for the Exchange Business Days in the Settlement Valuation Period,</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subject to Valuation Disruption as specified in the Confirmation.</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Settlement Valuation</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 number of Scheduled Trading Days selected by Wells Fargo in its</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reasonable discretion, beginning on the Settlement Method Election Date,</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 unwind a commercially reasonable hedge position.</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If Cash Settlement is applicable, then Counterparty shall pay to Wells</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Fargo the absolute value of the Forward Cash Settlement Amount on the</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Cash Settlement Payment Date.</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Exchange Business Day immediately following the last day of the</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Settlement Valuation Period.</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6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If Net Share Settlement is applicable, Net Share Settlement shall be made</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Procedures:</w:t>
            </w:r>
          </w:p>
        </w:tc>
        <w:tc>
          <w:tcPr>
            <w:tcW w:w="6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 accordance with paragraphs 2 through 7 below.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560" w:firstLine="217"/>
        <w:spacing w:after="0" w:line="313" w:lineRule="auto"/>
        <w:tabs>
          <w:tab w:leader="none" w:pos="4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Share Settlement shall be made by delivery on the Cash Settlement Payment Date of a number of Shares satisfying the conditions set forth in paragraph 3 below (the “</w:t>
      </w:r>
      <w:r>
        <w:rPr>
          <w:rFonts w:ascii="Times New Roman" w:cs="Times New Roman" w:eastAsia="Times New Roman" w:hAnsi="Times New Roman"/>
          <w:sz w:val="18"/>
          <w:szCs w:val="18"/>
          <w:b w:val="1"/>
          <w:bCs w:val="1"/>
          <w:color w:val="auto"/>
        </w:rPr>
        <w:t>Registered Settlement Shares</w:t>
      </w:r>
      <w:r>
        <w:rPr>
          <w:rFonts w:ascii="Times New Roman" w:cs="Times New Roman" w:eastAsia="Times New Roman" w:hAnsi="Times New Roman"/>
          <w:sz w:val="18"/>
          <w:szCs w:val="18"/>
          <w:color w:val="auto"/>
        </w:rPr>
        <w:t>”), or a number</w:t>
      </w:r>
    </w:p>
    <w:p>
      <w:pPr>
        <w:sectPr>
          <w:pgSz w:w="11900" w:h="16838" w:orient="portrait"/>
          <w:cols w:equalWidth="0" w:num="1">
            <w:col w:w="9520"/>
          </w:cols>
          <w:pgMar w:left="140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Annex A - Page 1</w:t>
      </w:r>
    </w:p>
    <w:p>
      <w:pPr>
        <w:sectPr>
          <w:pgSz w:w="11900" w:h="16838" w:orient="portrait"/>
          <w:cols w:equalWidth="0" w:num="1">
            <w:col w:w="9520"/>
          </w:cols>
          <w:pgMar w:left="1400" w:top="1440" w:right="979" w:bottom="1440" w:gutter="0" w:footer="0" w:header="0"/>
          <w:type w:val="continuous"/>
        </w:sectPr>
      </w:pPr>
    </w:p>
    <w:bookmarkStart w:id="71" w:name="page72"/>
    <w:bookmarkEnd w:id="71"/>
    <w:p>
      <w:pPr>
        <w:jc w:val="both"/>
        <w:spacing w:after="0" w:line="257" w:lineRule="auto"/>
        <w:rPr>
          <w:sz w:val="20"/>
          <w:szCs w:val="20"/>
          <w:color w:val="auto"/>
        </w:rPr>
      </w:pPr>
      <w:r>
        <w:rPr>
          <w:rFonts w:ascii="Times New Roman" w:cs="Times New Roman" w:eastAsia="Times New Roman" w:hAnsi="Times New Roman"/>
          <w:sz w:val="18"/>
          <w:szCs w:val="18"/>
          <w:color w:val="auto"/>
        </w:rPr>
        <w:t>of Shares not satisfying such conditions (the “</w:t>
      </w:r>
      <w:r>
        <w:rPr>
          <w:rFonts w:ascii="Times New Roman" w:cs="Times New Roman" w:eastAsia="Times New Roman" w:hAnsi="Times New Roman"/>
          <w:sz w:val="18"/>
          <w:szCs w:val="18"/>
          <w:b w:val="1"/>
          <w:bCs w:val="1"/>
          <w:color w:val="auto"/>
        </w:rPr>
        <w:t>Unregistered Settlement Shares</w:t>
      </w:r>
      <w:r>
        <w:rPr>
          <w:rFonts w:ascii="Times New Roman" w:cs="Times New Roman" w:eastAsia="Times New Roman" w:hAnsi="Times New Roman"/>
          <w:sz w:val="18"/>
          <w:szCs w:val="18"/>
          <w:color w:val="auto"/>
        </w:rPr>
        <w:t>”), in either case with a value equal to the absolute value of the Forward Cash Settlement Amount, with such Shares’ value based on the value thereof to Wells Fargo (which value shall, in the case of Unregistered Settlement Shares, take into account a commercially reasonable illiquidity discount), in each case as determined by the Calculation Agent. If all of the conditions for delivery of either Registered Settlement Shares or Unregistered Settlement Shares have not been satisfied, Cash Settlement shall be applicable in accordance with paragraph 1 above notwithstanding Counterparty’s election of Net Share Settlement.</w:t>
      </w:r>
    </w:p>
    <w:p>
      <w:pPr>
        <w:spacing w:after="0" w:line="146" w:lineRule="exact"/>
        <w:rPr>
          <w:sz w:val="20"/>
          <w:szCs w:val="20"/>
          <w:color w:val="auto"/>
        </w:rPr>
      </w:pPr>
    </w:p>
    <w:p>
      <w:pPr>
        <w:ind w:left="1280" w:hanging="641"/>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only deliver Registered Settlement Shares pursuant to paragraph 2 above if:</w:t>
      </w:r>
    </w:p>
    <w:p>
      <w:pPr>
        <w:spacing w:after="0" w:line="194" w:lineRule="exact"/>
        <w:rPr>
          <w:sz w:val="20"/>
          <w:szCs w:val="20"/>
          <w:color w:val="auto"/>
        </w:rPr>
      </w:pPr>
    </w:p>
    <w:p>
      <w:pPr>
        <w:jc w:val="both"/>
        <w:ind w:firstLine="639"/>
        <w:spacing w:after="0" w:line="278" w:lineRule="auto"/>
        <w:tabs>
          <w:tab w:leader="none" w:pos="96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covering public resale of the Registered Settlement Shares by Wells Fargo (the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 shall have been filed with the Securities and Exchange Commission under the Securities Act and been declared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effective on or prior to the date of delivery, and no stop order shall be in effect with respect to the Registration Statement; a printed prospectus relating to the Registered Settlement Shares (including, without limitation, any prospectus supplement thereto,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shall have been delivered to Wells Fargo, in such quantities as Wells Fargo shall reasonably have requested, on or prior to the date of delivery;</w:t>
      </w:r>
    </w:p>
    <w:p>
      <w:pPr>
        <w:spacing w:after="0" w:line="127" w:lineRule="exact"/>
        <w:rPr>
          <w:rFonts w:ascii="Times New Roman" w:cs="Times New Roman" w:eastAsia="Times New Roman" w:hAnsi="Times New Roman"/>
          <w:sz w:val="17"/>
          <w:szCs w:val="17"/>
          <w:color w:val="auto"/>
        </w:rPr>
      </w:pPr>
    </w:p>
    <w:p>
      <w:pPr>
        <w:ind w:firstLine="639"/>
        <w:spacing w:after="0" w:line="282" w:lineRule="auto"/>
        <w:tabs>
          <w:tab w:leader="none" w:pos="9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satisfactory to Wells Fargo;</w:t>
      </w:r>
    </w:p>
    <w:p>
      <w:pPr>
        <w:spacing w:after="0" w:line="121" w:lineRule="exact"/>
        <w:rPr>
          <w:rFonts w:ascii="Times New Roman" w:cs="Times New Roman" w:eastAsia="Times New Roman" w:hAnsi="Times New Roman"/>
          <w:sz w:val="18"/>
          <w:szCs w:val="18"/>
          <w:color w:val="auto"/>
        </w:rPr>
      </w:pPr>
    </w:p>
    <w:p>
      <w:pPr>
        <w:jc w:val="both"/>
        <w:ind w:firstLine="638"/>
        <w:spacing w:after="0" w:line="266" w:lineRule="auto"/>
        <w:tabs>
          <w:tab w:leader="none" w:pos="9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Wells Fargo and its agents shall have been afforded a reasonable opportunity to conduct a due diligence investigation with respect to Counterparty customary in scope for underwritten offerings of equity securities and the results of such investigation are satisfactory to Wells Fargo, in its discretion; and</w:t>
      </w:r>
    </w:p>
    <w:p>
      <w:pPr>
        <w:spacing w:after="0" w:line="144" w:lineRule="exact"/>
        <w:rPr>
          <w:rFonts w:ascii="Times New Roman" w:cs="Times New Roman" w:eastAsia="Times New Roman" w:hAnsi="Times New Roman"/>
          <w:sz w:val="18"/>
          <w:szCs w:val="18"/>
          <w:color w:val="auto"/>
        </w:rPr>
      </w:pPr>
    </w:p>
    <w:p>
      <w:pPr>
        <w:jc w:val="both"/>
        <w:ind w:firstLine="639"/>
        <w:spacing w:after="0" w:line="257" w:lineRule="auto"/>
        <w:tabs>
          <w:tab w:leader="none" w:pos="9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shall have been entered into with Wells Fargo in connection with the public resale of the Registered Settlement Shares by Wells Fargo substantially similar to underwriting agreements customary for underwritten offerings of equity securities, in form and substance satisfactory to Wells Fargo, which Underwriting Agreement shall include, without limitation, provisions substantially similar to those contained in such underwriting agreements relating, without limitation, to the indemnification of, and contribution in connection with the liability of, Wells Fargo and its affiliates and the provision of customary opinions, accountants’ comfort letters and lawyers’ negative assurance letters.</w:t>
      </w:r>
    </w:p>
    <w:p>
      <w:pPr>
        <w:spacing w:after="0" w:line="146" w:lineRule="exact"/>
        <w:rPr>
          <w:sz w:val="20"/>
          <w:szCs w:val="20"/>
          <w:color w:val="auto"/>
        </w:rPr>
      </w:pPr>
    </w:p>
    <w:p>
      <w:pPr>
        <w:ind w:left="1280" w:hanging="641"/>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Unregistered Settlement Shares pursuant to paragraph 2 above:</w:t>
      </w:r>
    </w:p>
    <w:p>
      <w:pPr>
        <w:spacing w:after="0" w:line="185" w:lineRule="exact"/>
        <w:rPr>
          <w:sz w:val="20"/>
          <w:szCs w:val="20"/>
          <w:color w:val="auto"/>
        </w:rPr>
      </w:pPr>
    </w:p>
    <w:p>
      <w:pPr>
        <w:ind w:firstLine="639"/>
        <w:spacing w:after="0" w:line="282" w:lineRule="auto"/>
        <w:tabs>
          <w:tab w:leader="none" w:pos="9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Wells Fargo (or any affiliate of Wells Fargo designated by Wells Fargo) pursuant to the exemption from the registration requirements of the Securities Act provided by Section 4(a)(2) thereof;</w:t>
      </w:r>
    </w:p>
    <w:p>
      <w:pPr>
        <w:spacing w:after="0" w:line="134" w:lineRule="exact"/>
        <w:rPr>
          <w:rFonts w:ascii="Times New Roman" w:cs="Times New Roman" w:eastAsia="Times New Roman" w:hAnsi="Times New Roman"/>
          <w:sz w:val="18"/>
          <w:szCs w:val="18"/>
          <w:color w:val="auto"/>
        </w:rPr>
      </w:pPr>
    </w:p>
    <w:p>
      <w:pPr>
        <w:jc w:val="both"/>
        <w:ind w:right="20" w:firstLine="639"/>
        <w:spacing w:after="0" w:line="258" w:lineRule="auto"/>
        <w:tabs>
          <w:tab w:leader="none" w:pos="9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Wells Fargo and any potential purchaser of any such shares from Wells Fargo (or any affiliate of Wells Fargo designated by Wells Fargo) identified by Wells Fargo shall be afforded a commercially reasonable opportunity to conduct a due diligence investigation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w:t>
      </w:r>
    </w:p>
    <w:p>
      <w:pPr>
        <w:spacing w:after="0" w:line="138" w:lineRule="exact"/>
        <w:rPr>
          <w:rFonts w:ascii="Times New Roman" w:cs="Times New Roman" w:eastAsia="Times New Roman" w:hAnsi="Times New Roman"/>
          <w:sz w:val="18"/>
          <w:szCs w:val="18"/>
          <w:color w:val="auto"/>
        </w:rPr>
      </w:pPr>
    </w:p>
    <w:p>
      <w:pPr>
        <w:jc w:val="both"/>
        <w:ind w:firstLine="639"/>
        <w:spacing w:after="0" w:line="251" w:lineRule="auto"/>
        <w:tabs>
          <w:tab w:leader="none" w:pos="100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Wells Fargo (or any affiliate of Wells Fargo designated by Wells Fargo) in connection with the private placement of such shares by Counterparty to Wells Fargo (or any such affiliate) and the private resale of such shares by Wells Fargo (or any such affiliate), substantially similar to private placement purchase agreements customary for private placements of equity securities, in form and substance commercially reasonably satisfactory to Wells Fargo, which Private Placement Agreement shall include, without limitation, provisions substantially similar to those contained in such private placement purchase agreements relating, without limitation, to the indemnification of, and contribution in connection with the liability of, Wells Fargo and its affiliates and the provision of customary opinions, accountants’ comfort letters and lawyers’ negative assurance letters, and shall provide for the payment by Counterparty of all documented, commercially reasonable fees and expenses of Wells Fargo (and any such affiliate) in connection with such resale, including, without limitation, all documented, commercially reasonable fees and expenses of counsel for Wells Fargo, and shall contain representations, warranties, covenants and agreements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Annex A - Page 2</w:t>
      </w:r>
    </w:p>
    <w:p>
      <w:pPr>
        <w:sectPr>
          <w:pgSz w:w="11900" w:h="16838" w:orient="portrait"/>
          <w:cols w:equalWidth="0" w:num="1">
            <w:col w:w="10260"/>
          </w:cols>
          <w:pgMar w:left="660" w:top="752" w:right="979" w:bottom="1440" w:gutter="0" w:footer="0" w:header="0"/>
        </w:sectPr>
      </w:pPr>
    </w:p>
    <w:bookmarkStart w:id="72" w:name="page73"/>
    <w:bookmarkEnd w:id="72"/>
    <w:p>
      <w:pPr>
        <w:ind w:right="160"/>
        <w:spacing w:after="0" w:line="282" w:lineRule="auto"/>
        <w:rPr>
          <w:sz w:val="20"/>
          <w:szCs w:val="20"/>
          <w:color w:val="auto"/>
        </w:rPr>
      </w:pPr>
      <w:r>
        <w:rPr>
          <w:rFonts w:ascii="Times New Roman" w:cs="Times New Roman" w:eastAsia="Times New Roman" w:hAnsi="Times New Roman"/>
          <w:sz w:val="18"/>
          <w:szCs w:val="18"/>
          <w:color w:val="auto"/>
        </w:rPr>
        <w:t>Counterparty reasonably necessary or advisable to establish and maintain the availability of an exemption from the registration requirements of the Securities Act for such resales; and</w:t>
      </w:r>
    </w:p>
    <w:p>
      <w:pPr>
        <w:spacing w:after="0" w:line="135" w:lineRule="exact"/>
        <w:rPr>
          <w:sz w:val="20"/>
          <w:szCs w:val="20"/>
          <w:color w:val="auto"/>
        </w:rPr>
      </w:pPr>
    </w:p>
    <w:p>
      <w:pPr>
        <w:jc w:val="both"/>
        <w:ind w:firstLine="639"/>
        <w:spacing w:after="0" w:line="266" w:lineRule="auto"/>
        <w:tabs>
          <w:tab w:leader="none" w:pos="9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Counterparty to Wells Fargo (or any such affiliate) and the private resale of such shares by Wells Fargo (or any such affiliate), Counterparty shall, if so requested by Wells Fargo, prepare, in cooperation with Wells Fargo, a private placement memorandum in form and substance reasonably satisfactory to Wells Fargo.</w:t>
      </w:r>
    </w:p>
    <w:p>
      <w:pPr>
        <w:spacing w:after="0" w:line="131" w:lineRule="exact"/>
        <w:rPr>
          <w:sz w:val="20"/>
          <w:szCs w:val="20"/>
          <w:color w:val="auto"/>
        </w:rPr>
      </w:pPr>
    </w:p>
    <w:p>
      <w:pPr>
        <w:jc w:val="both"/>
        <w:ind w:firstLine="639"/>
        <w:spacing w:after="0" w:line="253" w:lineRule="auto"/>
        <w:tabs>
          <w:tab w:leader="none" w:pos="9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itself or through an affiliate (the “</w:t>
      </w:r>
      <w:r>
        <w:rPr>
          <w:rFonts w:ascii="Times New Roman" w:cs="Times New Roman" w:eastAsia="Times New Roman" w:hAnsi="Times New Roman"/>
          <w:sz w:val="18"/>
          <w:szCs w:val="18"/>
          <w:b w:val="1"/>
          <w:bCs w:val="1"/>
          <w:color w:val="auto"/>
        </w:rPr>
        <w:t>Selling Agent</w:t>
      </w:r>
      <w:r>
        <w:rPr>
          <w:rFonts w:ascii="Times New Roman" w:cs="Times New Roman" w:eastAsia="Times New Roman" w:hAnsi="Times New Roman"/>
          <w:sz w:val="18"/>
          <w:szCs w:val="18"/>
          <w:color w:val="auto"/>
        </w:rPr>
        <w:t>”) or any underwriter(s), will sell in a commercially reasonable manner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delivered by Counterparty to Wells Fargo pursuant to paragraph 6 below commencing on the Cash Settlement Payment Date and continuing until the date on which the aggregate Net Proceeds (as such term is defined below) of such sales, as determined by Wells Fargo, is equal to the absolute value of the Forward Cash Settlement Amount (such date, the “</w:t>
      </w:r>
      <w:r>
        <w:rPr>
          <w:rFonts w:ascii="Times New Roman" w:cs="Times New Roman" w:eastAsia="Times New Roman" w:hAnsi="Times New Roman"/>
          <w:sz w:val="18"/>
          <w:szCs w:val="18"/>
          <w:b w:val="1"/>
          <w:bCs w:val="1"/>
          <w:color w:val="auto"/>
        </w:rPr>
        <w:t>Final Resale Date</w:t>
      </w:r>
      <w:r>
        <w:rPr>
          <w:rFonts w:ascii="Times New Roman" w:cs="Times New Roman" w:eastAsia="Times New Roman" w:hAnsi="Times New Roman"/>
          <w:sz w:val="18"/>
          <w:szCs w:val="18"/>
          <w:color w:val="auto"/>
        </w:rPr>
        <w:t>”). If the proceeds of any sale(s) made by Wells Fargo, the Selling Agent or any underwriter(s), net of commercially reasonable fees and commissions (including, without limitation, underwriting or placement fees) customary for similar transactions under the circumstances at the time of the offering, together with commercially reasonable carrying charges and expenses incurred in connection with the offer and sale of the Shares (including, without limitation, the covering of any over-allotment or short position (syndicate or otherwise))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exceed the absolute value of the Forward Cash Settlement Amount, Wells Fargo will refund, in USD, such excess to Counterparty on the date that is two (2) Currency Business Days following the Final Resale Date, and, if any portion of the Settlement Shares remains unsold, Wells Fargo shall return to Counterparty on that date such unsold Shares.</w:t>
      </w:r>
    </w:p>
    <w:p>
      <w:pPr>
        <w:spacing w:after="0" w:line="153" w:lineRule="exact"/>
        <w:rPr>
          <w:rFonts w:ascii="Times New Roman" w:cs="Times New Roman" w:eastAsia="Times New Roman" w:hAnsi="Times New Roman"/>
          <w:sz w:val="18"/>
          <w:szCs w:val="18"/>
          <w:color w:val="auto"/>
        </w:rPr>
      </w:pPr>
    </w:p>
    <w:p>
      <w:pPr>
        <w:jc w:val="both"/>
        <w:ind w:firstLine="639"/>
        <w:spacing w:after="0" w:line="252" w:lineRule="auto"/>
        <w:tabs>
          <w:tab w:leader="none" w:pos="9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b w:val="1"/>
          <w:bCs w:val="1"/>
          <w:color w:val="auto"/>
        </w:rPr>
        <w:t>Deficiency Determination Date</w:t>
      </w:r>
      <w:r>
        <w:rPr>
          <w:rFonts w:ascii="Times New Roman" w:cs="Times New Roman" w:eastAsia="Times New Roman" w:hAnsi="Times New Roman"/>
          <w:sz w:val="18"/>
          <w:szCs w:val="18"/>
          <w:color w:val="auto"/>
        </w:rPr>
        <w:t>”), Counterparty shall on the Exchange Business Day next succeeding the Deficiency Determination Date (the “</w:t>
      </w:r>
      <w:r>
        <w:rPr>
          <w:rFonts w:ascii="Times New Roman" w:cs="Times New Roman" w:eastAsia="Times New Roman" w:hAnsi="Times New Roman"/>
          <w:sz w:val="18"/>
          <w:szCs w:val="18"/>
          <w:b w:val="1"/>
          <w:bCs w:val="1"/>
          <w:color w:val="auto"/>
        </w:rPr>
        <w:t>Makewhole Notice Date</w:t>
      </w:r>
      <w:r>
        <w:rPr>
          <w:rFonts w:ascii="Times New Roman" w:cs="Times New Roman" w:eastAsia="Times New Roman" w:hAnsi="Times New Roman"/>
          <w:sz w:val="18"/>
          <w:szCs w:val="18"/>
          <w:color w:val="auto"/>
        </w:rPr>
        <w:t>”) deliver to Wells Fargo, through the Selling Agent, a notice of Counterparty’s election that Counterparty shall either (i) pay an amount in cash equal to the Shortfall on the day that is one Currency Business Day after the Makewhole Notice Date, or (ii) deliver additional Shares. If Counterparty elects to deliver to Wells Fargo additional Shares, then Counterparty shall deliver additional Shares in compliance with the terms and conditions of paragraph 3 or paragraph 4 above, as the case may be (the “</w:t>
      </w:r>
      <w:r>
        <w:rPr>
          <w:rFonts w:ascii="Times New Roman" w:cs="Times New Roman" w:eastAsia="Times New Roman" w:hAnsi="Times New Roman"/>
          <w:sz w:val="18"/>
          <w:szCs w:val="18"/>
          <w:b w:val="1"/>
          <w:bCs w:val="1"/>
          <w:color w:val="auto"/>
        </w:rPr>
        <w:t>Makewhole Shares</w:t>
      </w:r>
      <w:r>
        <w:rPr>
          <w:rFonts w:ascii="Times New Roman" w:cs="Times New Roman" w:eastAsia="Times New Roman" w:hAnsi="Times New Roman"/>
          <w:sz w:val="18"/>
          <w:szCs w:val="18"/>
          <w:color w:val="auto"/>
        </w:rPr>
        <w:t xml:space="preserve">”), on the first Clearance System Business Day which is also an Exchange Business Day following the Makewhole Notice Date in such number as the Calculation Agent reasonably believes would have a market value on that Exchange Business Day equal to the Shortfall. Such Makewhole Shares shall be sold by Wells Fargo in a commercially reasonable manner and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Wells Fargo further Makewhole Shares until such Shortfall has been reduced to zero.</w:t>
      </w:r>
    </w:p>
    <w:p>
      <w:pPr>
        <w:spacing w:after="0" w:line="168" w:lineRule="exact"/>
        <w:rPr>
          <w:rFonts w:ascii="Times New Roman" w:cs="Times New Roman" w:eastAsia="Times New Roman" w:hAnsi="Times New Roman"/>
          <w:sz w:val="18"/>
          <w:szCs w:val="18"/>
          <w:color w:val="auto"/>
        </w:rPr>
      </w:pPr>
    </w:p>
    <w:p>
      <w:pPr>
        <w:jc w:val="both"/>
        <w:ind w:firstLine="638"/>
        <w:spacing w:after="0" w:line="261" w:lineRule="auto"/>
        <w:tabs>
          <w:tab w:leader="none" w:pos="9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the aggregate number of Settlement Shares for the Transaction be greater than the Reserved Shares (such number,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Counterparty represents and warrants (which shall be deemed to be repeated on each day that the Transaction is outstanding) that the Capped Number is equal to or less than the number of Shares determined according to the following formula:</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 – B</w:t>
      </w:r>
    </w:p>
    <w:p>
      <w:pPr>
        <w:spacing w:after="0" w:line="185" w:lineRule="exact"/>
        <w:rPr>
          <w:sz w:val="20"/>
          <w:szCs w:val="20"/>
          <w:color w:val="auto"/>
        </w:rPr>
      </w:pPr>
    </w:p>
    <w:p>
      <w:pPr>
        <w:ind w:left="1620" w:right="2420" w:hanging="1295"/>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Where A =</w:t>
        <w:tab/>
        <w:t>the number of authorized but unissued shares of Counterparty that are not reserved for future issuance on the date of the determination of the Capped Number; and</w:t>
      </w:r>
    </w:p>
    <w:p>
      <w:pPr>
        <w:spacing w:after="0" w:line="189" w:lineRule="exact"/>
        <w:rPr>
          <w:sz w:val="20"/>
          <w:szCs w:val="20"/>
          <w:color w:val="auto"/>
        </w:rPr>
      </w:pPr>
    </w:p>
    <w:p>
      <w:pPr>
        <w:ind w:left="1120"/>
        <w:spacing w:after="0"/>
        <w:tabs>
          <w:tab w:leader="none" w:pos="160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maximum number of Shares required to be delivered to third parties if Counterparty</w:t>
      </w:r>
    </w:p>
    <w:p>
      <w:pPr>
        <w:spacing w:after="0" w:line="27" w:lineRule="exact"/>
        <w:rPr>
          <w:sz w:val="20"/>
          <w:szCs w:val="20"/>
          <w:color w:val="auto"/>
        </w:rPr>
      </w:pPr>
    </w:p>
    <w:p>
      <w:pPr>
        <w:ind w:left="1940" w:right="100"/>
        <w:spacing w:after="0" w:line="260" w:lineRule="auto"/>
        <w:rPr>
          <w:sz w:val="20"/>
          <w:szCs w:val="20"/>
          <w:color w:val="auto"/>
        </w:rPr>
      </w:pPr>
      <w:r>
        <w:rPr>
          <w:rFonts w:ascii="Times New Roman" w:cs="Times New Roman" w:eastAsia="Times New Roman" w:hAnsi="Times New Roman"/>
          <w:sz w:val="18"/>
          <w:szCs w:val="18"/>
          <w:color w:val="auto"/>
        </w:rPr>
        <w:t>elected Net Share Settlement of all transactions in the Shares (other than the Transaction under this Confirmation) with all third parties that are then currently outstanding and unexercised.</w:t>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Annex A - Page 3</w:t>
      </w:r>
    </w:p>
    <w:p>
      <w:pPr>
        <w:sectPr>
          <w:pgSz w:w="11900" w:h="16838" w:orient="portrait"/>
          <w:cols w:equalWidth="0" w:num="1">
            <w:col w:w="10260"/>
          </w:cols>
          <w:pgMar w:left="660" w:top="931" w:right="979"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Shares</w:t>
      </w:r>
      <w:r>
        <w:rPr>
          <w:rFonts w:ascii="Times New Roman" w:cs="Times New Roman" w:eastAsia="Times New Roman" w:hAnsi="Times New Roman"/>
          <w:sz w:val="18"/>
          <w:szCs w:val="18"/>
          <w:color w:val="auto"/>
        </w:rPr>
        <w:t>” means 13,869,624 Shares.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as a result of this paragraph 7, Counterparty fails to deliver to Wells Fargo any Settlement Shares, Counterparty shall, to the extent that Counterparty has at such time authorized but unissued Shares not reserved for other purposes, promptly notify Wells Fargo thereof and deliver to Wells Fargo a number of Shares not previously delivered as a result of this paragraph 7. Counterparty agrees to use commercially reasonable efforts to cause the number of authorized but unissued Shares to be increased, if necessary, to an amount sufficient to permit Counterparty to fulfill its obligation to deliver any Settlement Shares.</w:t>
      </w: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Annex A - Page 4</w:t>
      </w:r>
    </w:p>
    <w:p>
      <w:pPr>
        <w:sectPr>
          <w:pgSz w:w="11900" w:h="16838" w:orient="portrait"/>
          <w:cols w:equalWidth="0" w:num="1">
            <w:col w:w="10260"/>
          </w:cols>
          <w:pgMar w:left="660" w:top="1224" w:right="9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Sean Desmond, certify that:</w:t>
      </w:r>
    </w:p>
    <w:p>
      <w:pPr>
        <w:spacing w:after="0" w:line="25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75" w:name="page76"/>
    <w:bookmarkEnd w:id="75"/>
    <w:p>
      <w:pPr>
        <w:ind w:left="652" w:hanging="652"/>
        <w:spacing w:after="0" w:line="261" w:lineRule="auto"/>
        <w:tabs>
          <w:tab w:leader="none" w:pos="65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752" w:val="left"/>
        </w:tabs>
        <w:rPr>
          <w:sz w:val="20"/>
          <w:szCs w:val="20"/>
          <w:color w:val="auto"/>
        </w:rPr>
      </w:pPr>
      <w:r>
        <w:rPr>
          <w:rFonts w:ascii="Times New Roman" w:cs="Times New Roman" w:eastAsia="Times New Roman" w:hAnsi="Times New Roman"/>
          <w:sz w:val="20"/>
          <w:szCs w:val="20"/>
          <w:color w:val="auto"/>
        </w:rPr>
        <w:t>Date: May 27,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40005</wp:posOffset>
            </wp:positionV>
            <wp:extent cx="3326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Sean Desmond</w:t>
      </w:r>
    </w:p>
    <w:p>
      <w:pPr>
        <w:spacing w:after="0" w:line="6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152"/>
          </w:cols>
          <w:pgMar w:left="328" w:top="1413" w:right="4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77" w:name="page78"/>
    <w:bookmarkEnd w:id="77"/>
    <w:p>
      <w:pPr>
        <w:ind w:left="652" w:right="80" w:hanging="652"/>
        <w:spacing w:after="0" w:line="261" w:lineRule="auto"/>
        <w:tabs>
          <w:tab w:leader="none" w:pos="65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27, 2026</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2026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27, 2026</w:t>
            </w:r>
          </w:p>
        </w:tc>
        <w:tc>
          <w:tcPr>
            <w:tcW w:w="240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Sean Desmond</w:t>
            </w:r>
          </w:p>
        </w:tc>
      </w:tr>
      <w:tr>
        <w:trPr>
          <w:trHeight w:val="244"/>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Sean Desmond</w:t>
            </w:r>
          </w:p>
        </w:tc>
      </w:tr>
      <w:tr>
        <w:trPr>
          <w:trHeight w:val="258"/>
        </w:trPr>
        <w:tc>
          <w:tcPr>
            <w:tcW w:w="34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2026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27, 2026</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emdash "/>
      <w:numFmt w:val="bullet"/>
      <w:start w:val="1"/>
    </w:lvl>
  </w:abstractNum>
  <w:abstractNum w:abstractNumId="3">
    <w:nsid w:val="77465F01"/>
    <w:multiLevelType w:val="hybridMultilevel"/>
    <w:lvl w:ilvl="0">
      <w:lvlJc w:val="left"/>
      <w:lvlText w:val="(%1)"/>
      <w:numFmt w:val="decimal"/>
      <w:start w:val="410"/>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4"/>
    </w:lvl>
  </w:abstractNum>
  <w:abstractNum w:abstractNumId="21">
    <w:nsid w:val="4B588F54"/>
    <w:multiLevelType w:val="hybridMultilevel"/>
    <w:lvl w:ilvl="0">
      <w:lvlJc w:val="left"/>
      <w:lvlText w:val="%1."/>
      <w:numFmt w:val="decimal"/>
      <w:start w:val="2"/>
    </w:lvl>
  </w:abstractNum>
  <w:abstractNum w:abstractNumId="22">
    <w:nsid w:val="542289EC"/>
    <w:multiLevelType w:val="hybridMultilevel"/>
    <w:lvl w:ilvl="0">
      <w:lvlJc w:val="left"/>
      <w:lvlText w:val="(%1)"/>
      <w:numFmt w:val="lowerLetter"/>
      <w:start w:val="25"/>
    </w:lvl>
  </w:abstractNum>
  <w:abstractNum w:abstractNumId="23">
    <w:nsid w:val="6DE91B18"/>
    <w:multiLevelType w:val="hybridMultilevel"/>
    <w:lvl w:ilvl="0">
      <w:lvlJc w:val="left"/>
      <w:lvlText w:val="(%1)"/>
      <w:numFmt w:val="lowerRoman"/>
      <w:start w:val="2"/>
    </w:lvl>
  </w:abstractNum>
  <w:abstractNum w:abstractNumId="24">
    <w:nsid w:val="38437FDB"/>
    <w:multiLevelType w:val="hybridMultilevel"/>
    <w:lvl w:ilvl="0">
      <w:lvlJc w:val="left"/>
      <w:lvlText w:val="%1."/>
      <w:numFmt w:val="decimal"/>
      <w:start w:val="5"/>
    </w:lvl>
    <w:lvl w:ilvl="1">
      <w:lvlJc w:val="left"/>
      <w:lvlText w:val="(%2)"/>
      <w:numFmt w:val="lowerLetter"/>
      <w:start w:val="1"/>
    </w:lvl>
  </w:abstractNum>
  <w:abstractNum w:abstractNumId="25">
    <w:nsid w:val="7644A4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32FFF90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28">
    <w:nsid w:val="579478F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749ABB43"/>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30">
    <w:nsid w:val="3DC240FB"/>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1">
    <w:nsid w:val="1BA026FA"/>
    <w:multiLevelType w:val="hybridMultilevel"/>
    <w:lvl w:ilvl="0">
      <w:lvlJc w:val="left"/>
      <w:lvlText w:val="%1"/>
      <w:numFmt w:val="lowerLetter"/>
      <w:start w:val="1"/>
    </w:lvl>
    <w:lvl w:ilvl="1">
      <w:lvlJc w:val="left"/>
      <w:lvlText w:val="(%2)"/>
      <w:numFmt w:val="lowerRoman"/>
      <w:start w:val="3"/>
    </w:lvl>
  </w:abstractNum>
  <w:abstractNum w:abstractNumId="32">
    <w:nsid w:val="79A1DEAA"/>
    <w:multiLevelType w:val="hybridMultilevel"/>
    <w:lvl w:ilvl="0">
      <w:lvlJc w:val="left"/>
      <w:lvlText w:val="(%1)"/>
      <w:numFmt w:val="lowerLetter"/>
      <w:start w:val="3"/>
    </w:lvl>
    <w:lvl w:ilvl="1">
      <w:lvlJc w:val="left"/>
      <w:lvlText w:val="(%2)"/>
      <w:numFmt w:val="lowerRoman"/>
      <w:start w:val="1"/>
    </w:lvl>
  </w:abstractNum>
  <w:abstractNum w:abstractNumId="33">
    <w:nsid w:val="75C6C33A"/>
    <w:multiLevelType w:val="hybridMultilevel"/>
    <w:lvl w:ilvl="0">
      <w:lvlJc w:val="left"/>
      <w:lvlText w:val="(%1)"/>
      <w:numFmt w:val="lowerLetter"/>
      <w:start w:val="7"/>
    </w:lvl>
    <w:lvl w:ilvl="1">
      <w:lvlJc w:val="left"/>
      <w:lvlText w:val="%2)"/>
      <w:numFmt w:val="decimal"/>
      <w:start w:val="18"/>
    </w:lvl>
  </w:abstractNum>
  <w:abstractNum w:abstractNumId="34">
    <w:nsid w:val="12E685FB"/>
    <w:multiLevelType w:val="hybridMultilevel"/>
    <w:lvl w:ilvl="0">
      <w:lvlJc w:val="left"/>
      <w:lvlText w:val="(%1)"/>
      <w:numFmt w:val="lowerLetter"/>
      <w:start w:val="12"/>
    </w:lvl>
    <w:lvl w:ilvl="1">
      <w:lvlJc w:val="left"/>
      <w:lvlText w:val="(%2)"/>
      <w:numFmt w:val="lowerLetter"/>
      <w:start w:val="9"/>
    </w:lvl>
  </w:abstractNum>
  <w:abstractNum w:abstractNumId="35">
    <w:nsid w:val="70C6A529"/>
    <w:multiLevelType w:val="hybridMultilevel"/>
    <w:lvl w:ilvl="0">
      <w:lvlJc w:val="left"/>
      <w:lvlText w:val="(%1)"/>
      <w:numFmt w:val="lowerRoman"/>
      <w:start w:val="2"/>
    </w:lvl>
  </w:abstractNum>
  <w:abstractNum w:abstractNumId="36">
    <w:nsid w:val="520EEDD1"/>
    <w:multiLevelType w:val="hybridMultilevel"/>
    <w:lvl w:ilvl="0">
      <w:lvlJc w:val="left"/>
      <w:lvlText w:val="%1."/>
      <w:numFmt w:val="decimal"/>
      <w:start w:val="7"/>
    </w:lvl>
  </w:abstractNum>
  <w:abstractNum w:abstractNumId="37">
    <w:nsid w:val="374A3FE6"/>
    <w:multiLevelType w:val="hybridMultilevel"/>
    <w:lvl w:ilvl="0">
      <w:lvlJc w:val="left"/>
      <w:lvlText w:val="%1."/>
      <w:numFmt w:val="decimal"/>
      <w:start w:val="8"/>
    </w:lvl>
    <w:lvl w:ilvl="1">
      <w:lvlJc w:val="left"/>
      <w:lvlText w:val="(%2)"/>
      <w:numFmt w:val="lowerLetter"/>
      <w:start w:val="1"/>
    </w:lvl>
  </w:abstractNum>
  <w:abstractNum w:abstractNumId="38">
    <w:nsid w:val="4F4EF005"/>
    <w:multiLevelType w:val="hybridMultilevel"/>
    <w:lvl w:ilvl="0">
      <w:lvlJc w:val="left"/>
      <w:lvlText w:val="%1"/>
      <w:numFmt w:val="decimal"/>
      <w:start w:val="1"/>
    </w:lvl>
    <w:lvl w:ilvl="1">
      <w:lvlJc w:val="left"/>
      <w:lvlText w:val="(%2)"/>
      <w:numFmt w:val="lowerLetter"/>
      <w:start w:val="3"/>
    </w:lvl>
  </w:abstractNum>
  <w:abstractNum w:abstractNumId="39">
    <w:nsid w:val="23F9C13C"/>
    <w:multiLevelType w:val="hybridMultilevel"/>
    <w:lvl w:ilvl="0">
      <w:lvlJc w:val="left"/>
      <w:lvlText w:val="%1."/>
      <w:numFmt w:val="decimal"/>
      <w:start w:val="9"/>
    </w:lvl>
    <w:lvl w:ilvl="1">
      <w:lvlJc w:val="left"/>
      <w:lvlText w:val="%2"/>
      <w:numFmt w:val="lowerLetter"/>
      <w:start w:val="1"/>
    </w:lvl>
  </w:abstractNum>
  <w:abstractNum w:abstractNumId="40">
    <w:nsid w:val="649BB77C"/>
    <w:multiLevelType w:val="hybridMultilevel"/>
    <w:lvl w:ilvl="0">
      <w:lvlJc w:val="left"/>
      <w:lvlText w:val="%1"/>
      <w:numFmt w:val="decimal"/>
      <w:start w:val="1"/>
    </w:lvl>
    <w:lvl w:ilvl="1">
      <w:lvlJc w:val="left"/>
      <w:lvlText w:val="(%2)"/>
      <w:numFmt w:val="lowerRoman"/>
      <w:start w:val="3"/>
    </w:lvl>
  </w:abstractNum>
  <w:abstractNum w:abstractNumId="41">
    <w:nsid w:val="275AC794"/>
    <w:multiLevelType w:val="hybridMultilevel"/>
    <w:lvl w:ilvl="0">
      <w:lvlJc w:val="left"/>
      <w:lvlText w:val="%1."/>
      <w:numFmt w:val="decimal"/>
      <w:start w:val="11"/>
    </w:lvl>
    <w:lvl w:ilvl="1">
      <w:lvlJc w:val="left"/>
      <w:lvlText w:val="%2"/>
      <w:numFmt w:val="lowerRoman"/>
      <w:start w:val="1"/>
    </w:lvl>
  </w:abstractNum>
  <w:abstractNum w:abstractNumId="42">
    <w:nsid w:val="39386575"/>
    <w:multiLevelType w:val="hybridMultilevel"/>
    <w:lvl w:ilvl="0">
      <w:lvlJc w:val="left"/>
      <w:lvlText w:val="%1."/>
      <w:numFmt w:val="decimal"/>
      <w:start w:val="12"/>
    </w:lvl>
  </w:abstractNum>
  <w:abstractNum w:abstractNumId="43">
    <w:nsid w:val="1CF10FD8"/>
    <w:multiLevelType w:val="hybridMultilevel"/>
    <w:lvl w:ilvl="0">
      <w:lvlJc w:val="left"/>
      <w:lvlText w:val="%1"/>
      <w:numFmt w:val="decimal"/>
      <w:start w:val="1"/>
    </w:lvl>
    <w:lvl w:ilvl="1">
      <w:lvlJc w:val="left"/>
      <w:lvlText w:val="(%2)"/>
      <w:numFmt w:val="lowerLetter"/>
      <w:start w:val="2"/>
    </w:lvl>
  </w:abstractNum>
  <w:abstractNum w:abstractNumId="44">
    <w:nsid w:val="180115BE"/>
    <w:multiLevelType w:val="hybridMultilevel"/>
    <w:lvl w:ilvl="0">
      <w:lvlJc w:val="left"/>
      <w:lvlText w:val="%1."/>
      <w:numFmt w:val="decimal"/>
      <w:start w:val="15"/>
    </w:lvl>
    <w:lvl w:ilvl="1">
      <w:lvlJc w:val="left"/>
      <w:lvlText w:val="%2"/>
      <w:numFmt w:val="lowerLetter"/>
      <w:start w:val="1"/>
    </w:lvl>
  </w:abstractNum>
  <w:abstractNum w:abstractNumId="45">
    <w:nsid w:val="235BA861"/>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46">
    <w:nsid w:val="47398C89"/>
    <w:multiLevelType w:val="hybridMultilevel"/>
    <w:lvl w:ilvl="0">
      <w:lvlJc w:val="left"/>
      <w:lvlText w:val="%1."/>
      <w:numFmt w:val="decimal"/>
      <w:start w:val="18"/>
    </w:lvl>
  </w:abstractNum>
  <w:abstractNum w:abstractNumId="47">
    <w:nsid w:val="354FE9F9"/>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9"/>
    </w:lvl>
  </w:abstractNum>
  <w:abstractNum w:abstractNumId="48">
    <w:nsid w:val="15B5AF5C"/>
    <w:multiLevelType w:val="hybridMultilevel"/>
    <w:lvl w:ilvl="0">
      <w:lvlJc w:val="left"/>
      <w:lvlText w:val="(%1)"/>
      <w:numFmt w:val="lowerRoman"/>
      <w:start w:val="1"/>
    </w:lvl>
  </w:abstractNum>
  <w:abstractNum w:abstractNumId="49">
    <w:nsid w:val="741226BB"/>
    <w:multiLevelType w:val="hybridMultilevel"/>
    <w:lvl w:ilvl="0">
      <w:lvlJc w:val="left"/>
      <w:lvlText w:val="(%1)"/>
      <w:numFmt w:val="lowerRoman"/>
      <w:start w:val="2"/>
    </w:lvl>
  </w:abstractNum>
  <w:abstractNum w:abstractNumId="50">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9"/>
    </w:lvl>
  </w:abstractNum>
  <w:abstractNum w:abstractNumId="51">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52">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Letter"/>
      <w:start w:val="9"/>
    </w:lvl>
  </w:abstractNum>
  <w:abstractNum w:abstractNumId="53">
    <w:nsid w:val="6157409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54">
    <w:nsid w:val="7E0C57B1"/>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5">
    <w:nsid w:val="77AE35EB"/>
    <w:multiLevelType w:val="hybridMultilevel"/>
    <w:lvl w:ilvl="0">
      <w:lvlJc w:val="left"/>
      <w:lvlText w:val="%1."/>
      <w:numFmt w:val="decimal"/>
      <w:start w:val="21"/>
    </w:lvl>
    <w:lvl w:ilvl="1">
      <w:lvlJc w:val="left"/>
      <w:lvlText w:val="(%2)"/>
      <w:numFmt w:val="lowerLetter"/>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2"/>
    </w:lvl>
  </w:abstractNum>
  <w:abstractNum w:abstractNumId="58">
    <w:nsid w:val="5FF87E05"/>
    <w:multiLevelType w:val="hybridMultilevel"/>
    <w:lvl w:ilvl="0">
      <w:lvlJc w:val="left"/>
      <w:lvlText w:val="%1."/>
      <w:numFmt w:val="decimal"/>
      <w:start w:val="3"/>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decimal"/>
      <w:start w:val="4"/>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4"/>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decimal"/>
      <w:start w:val="1"/>
    </w:lvl>
    <w:lvl w:ilvl="1">
      <w:lvlJc w:val="left"/>
      <w:lvlText w:val="(%2)"/>
      <w:numFmt w:val="lowerLetter"/>
      <w:start w:val="1"/>
    </w:lvl>
  </w:abstractNum>
  <w:abstractNum w:abstractNumId="65">
    <w:nsid w:val="5DB70AE5"/>
    <w:multiLevelType w:val="hybridMultilevel"/>
    <w:lvl w:ilvl="0">
      <w:lvlJc w:val="left"/>
      <w:lvlText w:val="%1."/>
      <w:numFmt w:val="decimal"/>
      <w:start w:val="5"/>
    </w:lvl>
    <w:lvl w:ilvl="1">
      <w:lvlJc w:val="left"/>
      <w:lvlText w:val="(%2)"/>
      <w:numFmt w:val="lowerLetter"/>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5"/>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85" Type="http://schemas.openxmlformats.org/officeDocument/2006/relationships/hyperlink" Target="https://www.sec.gov/Archives/edgar/data/1902733/000119312525143670/d810798dex31.htm" TargetMode="External"/><Relationship Id="rId86" Type="http://schemas.openxmlformats.org/officeDocument/2006/relationships/hyperlink" Target="https://www.sec.gov/Archives/edgar/data/1902733/000190273322000031/amendedandrestatedbylaws.htm" TargetMode="External"/><Relationship Id="rId87" Type="http://schemas.openxmlformats.org/officeDocument/2006/relationships/hyperlink" Target="https://www.sec.gov/Archives/edgar/data/1902733/000190273326000019/exhibit101amended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2026-05-27T16:59:19Z</dcterms:created>
  <dcterms:modified xsi:type="dcterms:W3CDTF">2026-05-27T16:59:19Z</dcterms:modified>
</cp:coreProperties>
</file>