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4"/>
          <w:szCs w:val="24"/>
          <w:color w:val="auto"/>
        </w:rPr>
      </w:pP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81"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4460" w:right="1760" w:hanging="2635"/>
        <w:spacing w:after="0" w:line="261" w:lineRule="auto"/>
        <w:tabs>
          <w:tab w:leader="none" w:pos="2106"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1167130</wp:posOffset>
            </wp:positionH>
            <wp:positionV relativeFrom="paragraph">
              <wp:posOffset>-199390</wp:posOffset>
            </wp:positionV>
            <wp:extent cx="69215" cy="70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001-39380</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3"/>
        </w:trPr>
        <w:tc>
          <w:tcPr>
            <w:tcW w:w="1340" w:type="dxa"/>
            <w:vAlign w:val="bottom"/>
          </w:tcPr>
          <w:p>
            <w:pPr>
              <w:spacing w:after="0"/>
              <w:rPr>
                <w:sz w:val="20"/>
                <w:szCs w:val="20"/>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46-4353148</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r>
      <w:tr>
        <w:trPr>
          <w:trHeight w:val="204"/>
        </w:trPr>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5"/>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73"/>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2"/>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8"/>
                <w:szCs w:val="18"/>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00"/>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7"/>
                <w:szCs w:val="17"/>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8"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5475605</wp:posOffset>
            </wp:positionH>
            <wp:positionV relativeFrom="paragraph">
              <wp:posOffset>-106045</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10"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4608195</wp:posOffset>
            </wp:positionH>
            <wp:positionV relativeFrom="paragraph">
              <wp:posOffset>-106045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51"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2"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97" w:lineRule="exact"/>
        <w:rPr>
          <w:sz w:val="24"/>
          <w:szCs w:val="24"/>
          <w:color w:val="auto"/>
        </w:rPr>
      </w:pPr>
    </w:p>
    <w:p>
      <w:pPr>
        <w:ind w:right="50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61" w:lineRule="exact"/>
        <w:rPr>
          <w:sz w:val="24"/>
          <w:szCs w:val="24"/>
          <w:color w:val="auto"/>
        </w:rPr>
      </w:pPr>
    </w:p>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92,294,563 shares of common stock, $0.0005 par value per share, as of November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1"/>
        </w:trPr>
        <w:tc>
          <w:tcPr>
            <w:tcW w:w="10580" w:type="dxa"/>
            <w:vAlign w:val="bottom"/>
            <w:gridSpan w:val="10"/>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Cautionary Note Regarding Forward-Looking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i</w:t>
              </w:r>
            </w:hyperlink>
          </w:p>
        </w:tc>
      </w:tr>
      <w:tr>
        <w:trPr>
          <w:trHeight w:val="234"/>
        </w:trPr>
        <w:tc>
          <w:tcPr>
            <w:tcW w:w="10580" w:type="dxa"/>
            <w:vAlign w:val="bottom"/>
            <w:gridSpan w:val="10"/>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Financial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29"/>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 Financial Statements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29"/>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8"/>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Balance Sheets as of January 31, 2020 and October 31, 2020 (Unaudited)</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8"/>
          </w:tcPr>
          <w:p>
            <w:pPr>
              <w:ind w:left="20"/>
              <w:spacing w:after="0" w:line="194"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Unaudited Condensed Consolidated Statements of Operations for the Three and</w:t>
              </w:r>
              <w:r>
                <w:rPr>
                  <w:rFonts w:ascii="Times New Roman" w:cs="Times New Roman" w:eastAsia="Times New Roman" w:hAnsi="Times New Roman"/>
                  <w:sz w:val="18"/>
                  <w:szCs w:val="18"/>
                  <w:color w:val="0000FF"/>
                </w:rPr>
                <w:t xml:space="preserve"> Nine Months Ended </w:t>
              </w:r>
            </w:hyperlink>
            <w:r>
              <w:rPr>
                <w:rFonts w:ascii="Times New Roman" w:cs="Times New Roman" w:eastAsia="Times New Roman" w:hAnsi="Times New Roman"/>
                <w:sz w:val="18"/>
                <w:szCs w:val="18"/>
                <w:color w:val="0000FF"/>
              </w:rPr>
              <w:t xml:space="preserve">October </w:t>
            </w:r>
            <w:hyperlink w:anchor="page4">
              <w:r>
                <w:rPr>
                  <w:rFonts w:ascii="Times New Roman" w:cs="Times New Roman" w:eastAsia="Times New Roman" w:hAnsi="Times New Roman"/>
                  <w:sz w:val="18"/>
                  <w:szCs w:val="18"/>
                  <w:u w:val="single" w:color="auto"/>
                  <w:color w:val="0000FF"/>
                </w:rPr>
                <w:t>31, 2019 and 2020</w:t>
              </w:r>
            </w:hyperlink>
          </w:p>
        </w:tc>
        <w:tc>
          <w:tcPr>
            <w:tcW w:w="660" w:type="dxa"/>
            <w:vAlign w:val="bottom"/>
          </w:tcPr>
          <w:p>
            <w:pPr>
              <w:jc w:val="right"/>
              <w:spacing w:after="0" w:line="194" w:lineRule="exact"/>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8"/>
          </w:tcPr>
          <w:p>
            <w:pPr>
              <w:ind w:lef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Unaudited Condensed Consolidated Statements of Comprehensive Loss for the Three and</w:t>
              </w:r>
              <w:r>
                <w:rPr>
                  <w:rFonts w:ascii="Times New Roman" w:cs="Times New Roman" w:eastAsia="Times New Roman" w:hAnsi="Times New Roman"/>
                  <w:sz w:val="18"/>
                  <w:szCs w:val="18"/>
                  <w:color w:val="0000FF"/>
                </w:rPr>
                <w:t xml:space="preserve"> Nine Months Ended </w:t>
              </w:r>
            </w:hyperlink>
            <w:r>
              <w:rPr>
                <w:rFonts w:ascii="Times New Roman" w:cs="Times New Roman" w:eastAsia="Times New Roman" w:hAnsi="Times New Roman"/>
                <w:sz w:val="18"/>
                <w:szCs w:val="18"/>
                <w:color w:val="0000FF"/>
              </w:rPr>
              <w:t xml:space="preserve">October </w:t>
            </w:r>
            <w:hyperlink w:anchor="page5">
              <w:r>
                <w:rPr>
                  <w:rFonts w:ascii="Times New Roman" w:cs="Times New Roman" w:eastAsia="Times New Roman" w:hAnsi="Times New Roman"/>
                  <w:sz w:val="18"/>
                  <w:szCs w:val="18"/>
                  <w:u w:val="single" w:color="auto"/>
                  <w:color w:val="0000FF"/>
                </w:rPr>
                <w:t>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8"/>
          </w:tcPr>
          <w:p>
            <w:pPr>
              <w:ind w:lef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Unaudited Condensed Consolidated Statements of Stockholders' Equity for the Three and</w:t>
              </w:r>
              <w:r>
                <w:rPr>
                  <w:rFonts w:ascii="Times New Roman" w:cs="Times New Roman" w:eastAsia="Times New Roman" w:hAnsi="Times New Roman"/>
                  <w:sz w:val="18"/>
                  <w:szCs w:val="18"/>
                  <w:color w:val="0000FF"/>
                </w:rPr>
                <w:t xml:space="preserve"> Nine Months Ended </w:t>
              </w:r>
            </w:hyperlink>
            <w:r>
              <w:rPr>
                <w:rFonts w:ascii="Times New Roman" w:cs="Times New Roman" w:eastAsia="Times New Roman" w:hAnsi="Times New Roman"/>
                <w:sz w:val="18"/>
                <w:szCs w:val="18"/>
                <w:color w:val="0000FF"/>
              </w:rPr>
              <w:t xml:space="preserve">October </w:t>
            </w:r>
            <w:hyperlink w:anchor="page6">
              <w:r>
                <w:rPr>
                  <w:rFonts w:ascii="Times New Roman" w:cs="Times New Roman" w:eastAsia="Times New Roman" w:hAnsi="Times New Roman"/>
                  <w:sz w:val="18"/>
                  <w:szCs w:val="18"/>
                  <w:u w:val="single" w:color="auto"/>
                  <w:color w:val="0000FF"/>
                </w:rPr>
                <w:t>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8"/>
          </w:tcPr>
          <w:p>
            <w:pPr>
              <w:ind w:left="2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 xml:space="preserve">Unaudited Condensed Consolidated Statements of Cash Flows for the Nine Months Ended October </w:t>
              </w:r>
              <w:r>
                <w:rPr>
                  <w:rFonts w:ascii="Times New Roman" w:cs="Times New Roman" w:eastAsia="Times New Roman" w:hAnsi="Times New Roman"/>
                  <w:sz w:val="18"/>
                  <w:szCs w:val="18"/>
                  <w:u w:val="single" w:color="auto"/>
                  <w:color w:val="0000FF"/>
                </w:rPr>
                <w:t>31, 2019 and 2020</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245"/>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160" w:type="dxa"/>
            <w:vAlign w:val="bottom"/>
            <w:tcBorders>
              <w:top w:val="single" w:sz="8" w:color="0000FF"/>
            </w:tcBorders>
            <w:gridSpan w:val="5"/>
          </w:tcPr>
          <w:p>
            <w:pPr>
              <w:ind w:left="2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3080" w:type="dxa"/>
            <w:vAlign w:val="bottom"/>
            <w:gridSpan w:val="3"/>
          </w:tcPr>
          <w:p>
            <w:pPr>
              <w:spacing w:after="0"/>
              <w:rPr>
                <w:sz w:val="21"/>
                <w:szCs w:val="21"/>
                <w:color w:val="auto"/>
              </w:rPr>
            </w:pPr>
          </w:p>
        </w:tc>
        <w:tc>
          <w:tcPr>
            <w:tcW w:w="66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7</w:t>
              </w:r>
            </w:hyperlink>
          </w:p>
        </w:tc>
      </w:tr>
      <w:tr>
        <w:trPr>
          <w:trHeight w:val="230"/>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22</w:t>
              </w:r>
            </w:hyperlink>
          </w:p>
        </w:tc>
      </w:tr>
      <w:tr>
        <w:trPr>
          <w:trHeight w:val="229"/>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34</w:t>
              </w:r>
            </w:hyperlink>
          </w:p>
        </w:tc>
      </w:tr>
      <w:tr>
        <w:trPr>
          <w:trHeight w:val="225"/>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Item 4. Controls and Procedures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35</w:t>
              </w:r>
            </w:hyperlink>
          </w:p>
        </w:tc>
      </w:tr>
      <w:tr>
        <w:trPr>
          <w:trHeight w:val="234"/>
        </w:trPr>
        <w:tc>
          <w:tcPr>
            <w:tcW w:w="10580" w:type="dxa"/>
            <w:vAlign w:val="bottom"/>
            <w:gridSpan w:val="10"/>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Part II. Other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36</w:t>
              </w:r>
            </w:hyperlink>
          </w:p>
        </w:tc>
      </w:tr>
      <w:tr>
        <w:trPr>
          <w:trHeight w:val="229"/>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1. Legal Proceedings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36</w:t>
              </w:r>
            </w:hyperlink>
          </w:p>
        </w:tc>
      </w:tr>
      <w:tr>
        <w:trPr>
          <w:trHeight w:val="194"/>
        </w:trPr>
        <w:tc>
          <w:tcPr>
            <w:tcW w:w="140" w:type="dxa"/>
            <w:vAlign w:val="bottom"/>
          </w:tcPr>
          <w:p>
            <w:pPr>
              <w:spacing w:after="0"/>
              <w:rPr>
                <w:sz w:val="16"/>
                <w:szCs w:val="16"/>
                <w:color w:val="auto"/>
              </w:rPr>
            </w:pPr>
          </w:p>
        </w:tc>
        <w:tc>
          <w:tcPr>
            <w:tcW w:w="104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line="194" w:lineRule="exact"/>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36</w:t>
              </w:r>
            </w:hyperlink>
          </w:p>
        </w:tc>
      </w:tr>
      <w:tr>
        <w:trPr>
          <w:trHeight w:val="20"/>
        </w:trPr>
        <w:tc>
          <w:tcPr>
            <w:tcW w:w="1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86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45"/>
        </w:trPr>
        <w:tc>
          <w:tcPr>
            <w:tcW w:w="140" w:type="dxa"/>
            <w:vAlign w:val="bottom"/>
          </w:tcPr>
          <w:p>
            <w:pPr>
              <w:spacing w:after="0"/>
              <w:rPr>
                <w:sz w:val="21"/>
                <w:szCs w:val="21"/>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36</w:t>
              </w:r>
            </w:hyperlink>
          </w:p>
        </w:tc>
      </w:tr>
      <w:tr>
        <w:trPr>
          <w:trHeight w:val="230"/>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3. Defaults Upon Senior Securities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36</w:t>
              </w:r>
            </w:hyperlink>
          </w:p>
        </w:tc>
      </w:tr>
      <w:tr>
        <w:trPr>
          <w:trHeight w:val="229"/>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4. Mine Safety Disclosures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37</w:t>
              </w:r>
            </w:hyperlink>
          </w:p>
        </w:tc>
      </w:tr>
      <w:tr>
        <w:trPr>
          <w:trHeight w:val="230"/>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5. Other Information</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37</w:t>
              </w:r>
            </w:hyperlink>
          </w:p>
        </w:tc>
      </w:tr>
      <w:tr>
        <w:trPr>
          <w:trHeight w:val="230"/>
        </w:trPr>
        <w:tc>
          <w:tcPr>
            <w:tcW w:w="140" w:type="dxa"/>
            <w:vAlign w:val="bottom"/>
          </w:tcPr>
          <w:p>
            <w:pPr>
              <w:spacing w:after="0"/>
              <w:rPr>
                <w:sz w:val="19"/>
                <w:szCs w:val="19"/>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6. Exhibits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38</w:t>
              </w:r>
            </w:hyperlink>
          </w:p>
        </w:tc>
      </w:tr>
      <w:tr>
        <w:trPr>
          <w:trHeight w:val="234"/>
        </w:trPr>
        <w:tc>
          <w:tcPr>
            <w:tcW w:w="140" w:type="dxa"/>
            <w:vAlign w:val="bottom"/>
          </w:tcPr>
          <w:p>
            <w:pPr>
              <w:spacing w:after="0"/>
              <w:rPr>
                <w:sz w:val="20"/>
                <w:szCs w:val="20"/>
                <w:color w:val="auto"/>
              </w:rPr>
            </w:pPr>
          </w:p>
        </w:tc>
        <w:tc>
          <w:tcPr>
            <w:tcW w:w="10440" w:type="dxa"/>
            <w:vAlign w:val="bottom"/>
            <w:gridSpan w:val="9"/>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Signatures</w:t>
              </w:r>
            </w:hyperlink>
          </w:p>
        </w:tc>
        <w:tc>
          <w:tcPr>
            <w:tcW w:w="66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39</w:t>
              </w:r>
            </w:hyperlink>
          </w:p>
        </w:tc>
      </w:tr>
      <w:tr>
        <w:trPr>
          <w:trHeight w:val="1006"/>
        </w:trPr>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2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16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0" w:type="dxa"/>
            <w:vAlign w:val="bottom"/>
          </w:tcPr>
          <w:p>
            <w:pPr>
              <w:spacing w:after="0"/>
              <w:rPr>
                <w:sz w:val="1"/>
                <w:szCs w:val="1"/>
                <w:color w:val="auto"/>
              </w:rPr>
            </w:pPr>
          </w:p>
        </w:tc>
      </w:tr>
      <w:tr>
        <w:trPr>
          <w:trHeight w:val="188"/>
        </w:trPr>
        <w:tc>
          <w:tcPr>
            <w:tcW w:w="8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Cash and cash equivalents (VIE: $8,892 and $8,195 at January 31, 2020 and October 31, 2020,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91,184</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378,584</w:t>
            </w:r>
          </w:p>
        </w:tc>
        <w:tc>
          <w:tcPr>
            <w:tcW w:w="0" w:type="dxa"/>
            <w:vAlign w:val="bottom"/>
          </w:tcPr>
          <w:p>
            <w:pPr>
              <w:spacing w:after="0"/>
              <w:rPr>
                <w:sz w:val="1"/>
                <w:szCs w:val="1"/>
                <w:color w:val="auto"/>
              </w:rPr>
            </w:pPr>
          </w:p>
        </w:tc>
      </w:tr>
      <w:tr>
        <w:trPr>
          <w:trHeight w:val="229"/>
        </w:trPr>
        <w:tc>
          <w:tcPr>
            <w:tcW w:w="8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and $342 at January 31, 2020 and</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October 31, 2020, respectively</w:t>
            </w: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related parties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417,524</w:t>
            </w:r>
          </w:p>
        </w:tc>
        <w:tc>
          <w:tcPr>
            <w:tcW w:w="0" w:type="dxa"/>
            <w:vAlign w:val="bottom"/>
          </w:tcPr>
          <w:p>
            <w:pPr>
              <w:spacing w:after="0"/>
              <w:rPr>
                <w:sz w:val="1"/>
                <w:szCs w:val="1"/>
                <w:color w:val="auto"/>
              </w:rPr>
            </w:pP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520,396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related parties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commissions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 related parties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86,056</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rent, noncurrent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11 and 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 and 10,000,000 shares authorized as of January 31, 2020 and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October 31, 2020, respectively; and none issued and outstanding as of January 31, 2020 and October 31,</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2020, respectively</w:t>
            </w: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0 and 500,000,000 shares authorized as of January 31, 2020 and</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rPr>
              <w:t>October 31, 2020, respectively; 0 and 91,959,276 shares issued and outstanding as of January 31, 2020</w:t>
            </w: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October 31, 2020, respectively</w:t>
            </w:r>
          </w:p>
        </w:tc>
        <w:tc>
          <w:tcPr>
            <w:tcW w:w="1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Voting common stock, $0.0005 par value; 99,708,247 and 0 shares authorized as of January 31, 2020 and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rPr>
              <w:t>October 31, 2020, respectively; 75,596,007 and 0 shares issued and outstanding as of January 31, 2020</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October 31, 2020, respectively</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Non-voting common stock, $0.0005 par value; 10,291,753 and 0 shares authorized as of January 31, 2020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October 31, 2020, respectively; 5,931,319 and 0 shares issued and outstanding as of January 31, 2020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October 31, 2020, respectively</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575,529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426,717</w:t>
            </w:r>
          </w:p>
        </w:tc>
        <w:tc>
          <w:tcPr>
            <w:tcW w:w="0" w:type="dxa"/>
            <w:vAlign w:val="bottom"/>
          </w:tcPr>
          <w:p>
            <w:pPr>
              <w:spacing w:after="0"/>
              <w:rPr>
                <w:sz w:val="1"/>
                <w:szCs w:val="1"/>
                <w:color w:val="auto"/>
              </w:rPr>
            </w:pPr>
          </w:p>
        </w:tc>
      </w:tr>
      <w:tr>
        <w:trPr>
          <w:trHeight w:val="223"/>
        </w:trPr>
        <w:tc>
          <w:tcPr>
            <w:tcW w:w="8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520,396</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Subscription (related parties $1,904, $0, $5,771 and $2,439,</w:t>
            </w:r>
          </w:p>
        </w:tc>
        <w:tc>
          <w:tcPr>
            <w:tcW w:w="2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71,815</w:t>
            </w:r>
          </w:p>
        </w:tc>
        <w:tc>
          <w:tcPr>
            <w:tcW w:w="8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117,461</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(related party $5,826, $9,067, $16,246 and $25,277,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112,491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0" w:type="dxa"/>
            <w:vAlign w:val="bottom"/>
          </w:tcPr>
          <w:p>
            <w:pPr>
              <w:spacing w:after="0"/>
              <w:rPr>
                <w:sz w:val="1"/>
                <w:szCs w:val="1"/>
                <w:color w:val="auto"/>
              </w:rPr>
            </w:pPr>
          </w:p>
        </w:tc>
      </w:tr>
      <w:tr>
        <w:trPr>
          <w:trHeight w:val="175"/>
        </w:trPr>
        <w:tc>
          <w:tcPr>
            <w:tcW w:w="52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(Note 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79,382,419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91,600,203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77,277,039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85,962,141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5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7"/>
                <w:szCs w:val="17"/>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30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4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0" w:type="dxa"/>
            <w:vAlign w:val="bottom"/>
          </w:tcPr>
          <w:p>
            <w:pPr>
              <w:spacing w:after="0"/>
              <w:rPr>
                <w:sz w:val="1"/>
                <w:szCs w:val="1"/>
                <w:color w:val="auto"/>
              </w:rPr>
            </w:pPr>
          </w:p>
        </w:tc>
      </w:tr>
      <w:tr>
        <w:trPr>
          <w:trHeight w:val="156"/>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attributable to redeemable non-</w:t>
            </w:r>
          </w:p>
        </w:tc>
        <w:tc>
          <w:tcPr>
            <w:tcW w:w="8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240" w:type="dxa"/>
            <w:vAlign w:val="bottom"/>
            <w:shd w:val="clear" w:color="auto" w:fill="CCEEFF"/>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8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(6,405)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left="228"/>
              <w:spacing w:after="0"/>
              <w:rPr>
                <w:sz w:val="20"/>
                <w:szCs w:val="20"/>
                <w:color w:val="auto"/>
              </w:rPr>
            </w:pPr>
            <w:r>
              <w:rPr>
                <w:rFonts w:ascii="Times New Roman" w:cs="Times New Roman" w:eastAsia="Times New Roman" w:hAnsi="Times New Roman"/>
                <w:sz w:val="14"/>
                <w:szCs w:val="14"/>
                <w:color w:val="auto"/>
                <w:w w:val="97"/>
              </w:rPr>
              <w:t>Voting</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Non-voting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Additional</w:t>
            </w:r>
          </w:p>
        </w:tc>
        <w:tc>
          <w:tcPr>
            <w:tcW w:w="10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5"/>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5"/>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Borders>
              <w:bottom w:val="single" w:sz="8" w:color="auto"/>
            </w:tcBorders>
            <w:gridSpan w:val="6"/>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Paid-in</w:t>
            </w:r>
          </w:p>
        </w:tc>
        <w:tc>
          <w:tcPr>
            <w:tcW w:w="1020" w:type="dxa"/>
            <w:vAlign w:val="bottom"/>
            <w:gridSpan w:val="4"/>
          </w:tcPr>
          <w:p>
            <w:pPr>
              <w:ind w:left="20"/>
              <w:spacing w:after="0" w:line="107" w:lineRule="exact"/>
              <w:rPr>
                <w:sz w:val="20"/>
                <w:szCs w:val="20"/>
                <w:color w:val="auto"/>
              </w:rPr>
            </w:pPr>
            <w:r>
              <w:rPr>
                <w:rFonts w:ascii="Times New Roman" w:cs="Times New Roman" w:eastAsia="Times New Roman" w:hAnsi="Times New Roman"/>
                <w:sz w:val="12"/>
                <w:szCs w:val="12"/>
                <w:color w:val="auto"/>
              </w:rPr>
              <w:t>Comprehensive</w:t>
            </w:r>
          </w:p>
        </w:tc>
        <w:tc>
          <w:tcPr>
            <w:tcW w:w="1000" w:type="dxa"/>
            <w:vAlign w:val="bottom"/>
            <w:gridSpan w:val="6"/>
          </w:tcPr>
          <w:p>
            <w:pPr>
              <w:jc w:val="center"/>
              <w:ind w:right="80"/>
              <w:spacing w:after="0" w:line="107" w:lineRule="exact"/>
              <w:rPr>
                <w:sz w:val="20"/>
                <w:szCs w:val="20"/>
                <w:color w:val="auto"/>
              </w:rPr>
            </w:pPr>
            <w:r>
              <w:rPr>
                <w:rFonts w:ascii="Times New Roman" w:cs="Times New Roman" w:eastAsia="Times New Roman" w:hAnsi="Times New Roman"/>
                <w:sz w:val="12"/>
                <w:szCs w:val="12"/>
                <w:color w:val="auto"/>
              </w:rPr>
              <w:t>Accumulated</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Pr>
          <w:p>
            <w:pPr>
              <w:spacing w:after="0"/>
              <w:rPr>
                <w:sz w:val="17"/>
                <w:szCs w:val="17"/>
                <w:color w:val="auto"/>
              </w:rPr>
            </w:pPr>
          </w:p>
        </w:tc>
        <w:tc>
          <w:tcPr>
            <w:tcW w:w="5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2019</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71,813,095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5,701,435</w:t>
            </w: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198,720</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(105,251)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93,936</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issuance, net of issuance costs of $52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3,448,276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79,946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Contingent consideration related to business combinations</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attributable to nCino, Inc.</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October 31, 2019</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75,435,370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5,931,320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176,012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restart"/>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4"/>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5"/>
            <w:vMerge w:val="restart"/>
          </w:tcPr>
          <w:p>
            <w:pPr>
              <w:jc w:val="center"/>
              <w:ind w:right="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11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20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2020</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91,122,356</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567,314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(140,072)</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836,920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Net loss attributable to nCino, Inc., including adjustment to</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(76)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October 31, 2020</w:t>
            </w: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91,959,276</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575,529</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(149,059)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5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Voting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Non-voting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640" w:type="dxa"/>
            <w:vAlign w:val="bottom"/>
            <w:vMerge w:val="restart"/>
          </w:tcPr>
          <w:p>
            <w:pPr>
              <w:jc w:val="center"/>
              <w:ind w:left="21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50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color w:val="auto"/>
              </w:rPr>
              <w:t>Paid-in</w:t>
            </w:r>
          </w:p>
        </w:tc>
        <w:tc>
          <w:tcPr>
            <w:tcW w:w="10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100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31,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70,186,189</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5,701,435</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170,771</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66,036</w:t>
            </w:r>
          </w:p>
        </w:tc>
        <w:tc>
          <w:tcPr>
            <w:tcW w:w="0" w:type="dxa"/>
            <w:vAlign w:val="bottom"/>
          </w:tcPr>
          <w:p>
            <w:pPr>
              <w:spacing w:after="0"/>
              <w:rPr>
                <w:sz w:val="1"/>
                <w:szCs w:val="1"/>
                <w:color w:val="auto"/>
              </w:rPr>
            </w:pPr>
          </w:p>
        </w:tc>
      </w:tr>
      <w:tr>
        <w:trPr>
          <w:trHeight w:val="135"/>
        </w:trPr>
        <w:tc>
          <w:tcPr>
            <w:tcW w:w="374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Cumulative-effect adjustment from adoption of</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1"/>
                <w:szCs w:val="11"/>
                <w:color w:val="auto"/>
              </w:rPr>
            </w:pPr>
          </w:p>
        </w:tc>
        <w:tc>
          <w:tcPr>
            <w:tcW w:w="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11,422</w:t>
            </w:r>
          </w:p>
        </w:tc>
        <w:tc>
          <w:tcPr>
            <w:tcW w:w="0" w:type="dxa"/>
            <w:vAlign w:val="bottom"/>
          </w:tcPr>
          <w:p>
            <w:pPr>
              <w:spacing w:after="0"/>
              <w:rPr>
                <w:sz w:val="1"/>
                <w:szCs w:val="1"/>
                <w:color w:val="auto"/>
              </w:rPr>
            </w:pPr>
          </w:p>
        </w:tc>
      </w:tr>
      <w:tr>
        <w:trPr>
          <w:trHeight w:val="189"/>
        </w:trPr>
        <w:tc>
          <w:tcPr>
            <w:tcW w:w="3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accounting standard</w:t>
            </w:r>
          </w:p>
        </w:tc>
        <w:tc>
          <w:tcPr>
            <w:tcW w:w="8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issuance, net of issuance costs of $52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3,448,276</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229,885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79,948</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issuance related to business combinations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1,502,772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25,204</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Contingent consideration related to business combinations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298,133</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attributable to nCino, Inc.</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October 31, 2019</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75,435,370</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38</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5,931,320</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287,199</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(111,280)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176,012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0"/>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color w:val="auto"/>
                <w:w w:val="97"/>
              </w:rPr>
              <w:t>Voting</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Non-voting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7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vMerge w:val="restart"/>
          </w:tcPr>
          <w:p>
            <w:pPr>
              <w:spacing w:after="0"/>
              <w:rPr>
                <w:sz w:val="7"/>
                <w:szCs w:val="7"/>
                <w:color w:val="auto"/>
              </w:rPr>
            </w:pPr>
          </w:p>
        </w:tc>
        <w:tc>
          <w:tcPr>
            <w:tcW w:w="168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color w:val="auto"/>
              </w:rPr>
              <w:t>Paid-in</w:t>
            </w:r>
          </w:p>
        </w:tc>
        <w:tc>
          <w:tcPr>
            <w:tcW w:w="10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98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Capital</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Deficit</w:t>
            </w: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75,596,007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288,564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167,273</w:t>
            </w: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in connection with initial</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public offering, net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underwriting discounts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9,269,000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268,370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268,375</w:t>
            </w:r>
          </w:p>
        </w:tc>
        <w:tc>
          <w:tcPr>
            <w:tcW w:w="0" w:type="dxa"/>
            <w:vAlign w:val="bottom"/>
          </w:tcPr>
          <w:p>
            <w:pPr>
              <w:spacing w:after="0"/>
              <w:rPr>
                <w:sz w:val="1"/>
                <w:szCs w:val="1"/>
                <w:color w:val="auto"/>
              </w:rPr>
            </w:pPr>
          </w:p>
        </w:tc>
      </w:tr>
      <w:tr>
        <w:trPr>
          <w:trHeight w:val="189"/>
        </w:trPr>
        <w:tc>
          <w:tcPr>
            <w:tcW w:w="2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and commissions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Costs in connection with</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initial public offering</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Reclassification of voting</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4"/>
                <w:szCs w:val="14"/>
                <w:color w:val="auto"/>
              </w:rPr>
              <w:t>and non-voting common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81,852,856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(75,921,537)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(5,931,319)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19,613</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Other comprehensive</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Net loss attributable to</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nCino, Inc., including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adjustment to redeemable</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(28,478)</w:t>
            </w:r>
          </w:p>
        </w:tc>
        <w:tc>
          <w:tcPr>
            <w:tcW w:w="0" w:type="dxa"/>
            <w:vAlign w:val="bottom"/>
          </w:tcPr>
          <w:p>
            <w:pPr>
              <w:spacing w:after="0"/>
              <w:rPr>
                <w:sz w:val="1"/>
                <w:szCs w:val="1"/>
                <w:color w:val="auto"/>
              </w:rPr>
            </w:pPr>
          </w:p>
        </w:tc>
      </w:tr>
      <w:tr>
        <w:trPr>
          <w:trHeight w:val="189"/>
        </w:trPr>
        <w:tc>
          <w:tcPr>
            <w:tcW w:w="2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October 31,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91,959,276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426,717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8"/>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0"/>
        </w:trPr>
        <w:tc>
          <w:tcPr>
            <w:tcW w:w="8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(28,478)</w:t>
            </w:r>
          </w:p>
        </w:tc>
      </w:tr>
      <w:tr>
        <w:trPr>
          <w:trHeight w:val="21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20"/>
        </w:trPr>
        <w:tc>
          <w:tcPr>
            <w:tcW w:w="8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(28,835)</w:t>
            </w:r>
          </w:p>
        </w:tc>
      </w:tr>
      <w:tr>
        <w:trPr>
          <w:trHeight w:val="21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1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13"/>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19,613</w:t>
            </w:r>
          </w:p>
        </w:tc>
      </w:tr>
      <w:tr>
        <w:trPr>
          <w:trHeight w:val="21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(recovery of) bad debt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0"/>
        </w:trPr>
        <w:tc>
          <w:tcPr>
            <w:tcW w:w="83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w:t>
            </w:r>
          </w:p>
        </w:tc>
      </w:tr>
      <w:tr>
        <w:trPr>
          <w:trHeight w:val="246"/>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Accounts receivable, related parties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r>
      <w:tr>
        <w:trPr>
          <w:trHeight w:val="213"/>
        </w:trPr>
        <w:tc>
          <w:tcPr>
            <w:tcW w:w="83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w:t>
            </w:r>
          </w:p>
        </w:tc>
      </w:tr>
      <w:tr>
        <w:trPr>
          <w:trHeight w:val="246"/>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r>
      <w:tr>
        <w:trPr>
          <w:trHeight w:val="240"/>
        </w:trPr>
        <w:tc>
          <w:tcPr>
            <w:tcW w:w="83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payable and accrued expenses and other liabilities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19"/>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Accounts payable, related parties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40"/>
        </w:trPr>
        <w:tc>
          <w:tcPr>
            <w:tcW w:w="83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Deferred rent</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9"/>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19,413</w:t>
            </w:r>
          </w:p>
        </w:tc>
      </w:tr>
      <w:tr>
        <w:trPr>
          <w:trHeight w:val="240"/>
        </w:trPr>
        <w:tc>
          <w:tcPr>
            <w:tcW w:w="83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Deferred revenue, related parties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w:t>
            </w:r>
          </w:p>
        </w:tc>
      </w:tr>
      <w:tr>
        <w:trPr>
          <w:trHeight w:val="213"/>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w:t>
            </w:r>
          </w:p>
        </w:tc>
      </w:tr>
      <w:tr>
        <w:trPr>
          <w:trHeight w:val="213"/>
        </w:trPr>
        <w:tc>
          <w:tcPr>
            <w:tcW w:w="8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w:t>
            </w:r>
          </w:p>
        </w:tc>
      </w:tr>
      <w:tr>
        <w:trPr>
          <w:trHeight w:val="226"/>
        </w:trPr>
        <w:tc>
          <w:tcPr>
            <w:tcW w:w="83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w:t>
            </w:r>
          </w:p>
        </w:tc>
      </w:tr>
      <w:tr>
        <w:trPr>
          <w:trHeight w:val="213"/>
        </w:trPr>
        <w:tc>
          <w:tcPr>
            <w:tcW w:w="8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discounts and commissions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268,375</w:t>
            </w:r>
          </w:p>
        </w:tc>
      </w:tr>
      <w:tr>
        <w:trPr>
          <w:trHeight w:val="240"/>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of costs related to initial public offering</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r>
      <w:tr>
        <w:trPr>
          <w:trHeight w:val="246"/>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Investment from redeemable non-controlling interest</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stock issuance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 issuance costs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of deferred costs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r>
      <w:tr>
        <w:trPr>
          <w:trHeight w:val="220"/>
        </w:trPr>
        <w:tc>
          <w:tcPr>
            <w:tcW w:w="83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269,710</w:t>
            </w:r>
          </w:p>
        </w:tc>
      </w:tr>
      <w:tr>
        <w:trPr>
          <w:trHeight w:val="22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20"/>
        </w:trPr>
        <w:tc>
          <w:tcPr>
            <w:tcW w:w="83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287,400</w:t>
            </w:r>
          </w:p>
        </w:tc>
      </w:tr>
      <w:tr>
        <w:trPr>
          <w:trHeight w:val="24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91,184</w:t>
            </w:r>
          </w:p>
        </w:tc>
      </w:tr>
      <w:tr>
        <w:trPr>
          <w:trHeight w:val="213"/>
        </w:trPr>
        <w:tc>
          <w:tcPr>
            <w:tcW w:w="8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378,584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during the year for taxes, net of refunds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of common stock issued as consideration for business acquisition</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90"/>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Costs related to initial public offering, accrued but not paid</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Costs related to initial public offering, reclassified from other long term assets to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 other long-term liabilities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8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included in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5" w:lineRule="exact"/>
        <w:rPr>
          <w:sz w:val="20"/>
          <w:szCs w:val="20"/>
          <w:color w:val="auto"/>
        </w:rPr>
      </w:pPr>
    </w:p>
    <w:p>
      <w:pPr>
        <w:ind w:right="10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is a software-as-a-service (SaaS) company that provides software applications to financial institutions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streamline employee and client interactions. The Company is headquartered in Wilmington, North Carolina and has offices in Salt Lake City, Utah; London, United Kingdom; Sydney, Australia; Melbourne, Australia; Toronto, Canada; and Tokyo, Japan.</w:t>
      </w:r>
    </w:p>
    <w:p>
      <w:pPr>
        <w:spacing w:after="0" w:line="171"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On July 13, 2020, the Company's Registration Statement on Form S-1 relating to the initial public offering ("IPO")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authorized to issue,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October 31, 2020).</w:t>
      </w:r>
    </w:p>
    <w:p>
      <w:pPr>
        <w:spacing w:after="0" w:line="192" w:lineRule="exact"/>
        <w:rPr>
          <w:sz w:val="20"/>
          <w:szCs w:val="20"/>
          <w:color w:val="auto"/>
        </w:rPr>
      </w:pPr>
    </w:p>
    <w:p>
      <w:pPr>
        <w:jc w:val="both"/>
        <w:ind w:right="60" w:firstLine="891"/>
        <w:spacing w:after="0" w:line="266" w:lineRule="auto"/>
        <w:rPr>
          <w:sz w:val="20"/>
          <w:szCs w:val="20"/>
          <w:color w:val="auto"/>
        </w:rPr>
      </w:pPr>
      <w:r>
        <w:rPr>
          <w:rFonts w:ascii="Times New Roman" w:cs="Times New Roman" w:eastAsia="Times New Roman" w:hAnsi="Times New Roman"/>
          <w:sz w:val="18"/>
          <w:szCs w:val="18"/>
          <w:color w:val="auto"/>
        </w:rPr>
        <w:t>Prior to the IPO, deferred offering costs, which consist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72"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Secondary Public Offering: </w:t>
      </w:r>
      <w:r>
        <w:rPr>
          <w:rFonts w:ascii="Times New Roman" w:cs="Times New Roman" w:eastAsia="Times New Roman" w:hAnsi="Times New Roman"/>
          <w:sz w:val="18"/>
          <w:szCs w:val="18"/>
          <w:color w:val="auto"/>
        </w:rPr>
        <w:t>On October 13, 2020, the Company completed an underwritten secondary public offering of 7,712,985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(including shares issued pursuant to the exercise in full of the underwriters' option to purchase additional shares) (the "Secondary Offering") held by certain stockholders of the Company (the "Selling Stockholders"). The Company did not offer any shares of common stock in the Secondary Offering and did not receive any proceeds from the sale of the shares of common stock by the Selling Stockholders. The Company incurred costs of $1.0 million in relation to the Secondary Offering for the three and nine months ended October 31, 2020 and such costs are recorded as a component of general and administrative expenses on the unaudited condensed consolidated statement of operations. The Company received $1.7 million in cash (excluding withholding taxes) in connection with the exercise of 554,112 options by certain stockholders participating in this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for the Company’s audited January 31, 2020 consolidated financial statements contained in the Company's final prospectus for the Secondary Offering dated October 7, 2020 and filed with the SEC pursuant to Rule 424(b)(4) on October 9, 2020. The unaudited condensed consolidated financial statements include accounts of the Company’s wholly-owned subsidiaries, as well as a variable interest entity in which the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is the primary beneficiary. All intercompany accounts and transactions are eliminated. Refer to the variable interest entity section below and Note 3 for additional information regarding the Company’s variable interest entity.</w:t>
      </w:r>
    </w:p>
    <w:p>
      <w:pPr>
        <w:spacing w:after="0" w:line="16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Refer to Note 3 for additional information regarding the Company’s variable interest.</w:t>
      </w:r>
    </w:p>
    <w:p>
      <w:pPr>
        <w:spacing w:after="0" w:line="185"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88"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jc w:val="both"/>
        <w:ind w:right="1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and cash equivalents. The Company’s cash and cash equivalents exceeded the Federal deposit insurance limit at January 31, 2020 and October 31, 2020. The Company maintains its cash and cash equivalents with high-credit-quality financial institutions.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As of January 31, 2020, two customers represented 22% of accounts receivable, 11% of which was from a customer who is an equity holder. In the quarter ended July 31, 2020, the equity holder ceased to qualify as a related party of the Company and the amounts disclosed related to such equity holder are accordingly presented as a related party through April 30, 2020, only. As of October 31, 2020, one customer represented 16% of accounts receivable. For the three and nine months ended October 31, 2019 and 2020, no individual customer represented more than 10% of the Company’s total revenues.</w:t>
      </w:r>
    </w:p>
    <w:p>
      <w:pPr>
        <w:spacing w:after="0" w:line="179"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Allowances: </w:t>
      </w:r>
      <w:r>
        <w:rPr>
          <w:rFonts w:ascii="Times New Roman" w:cs="Times New Roman" w:eastAsia="Times New Roman" w:hAnsi="Times New Roman"/>
          <w:sz w:val="18"/>
          <w:szCs w:val="18"/>
          <w:color w:val="auto"/>
        </w:rPr>
        <w:t>A receivable is recorded when an unconditional right to invoice and receive payment exists, such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92" w:lineRule="exact"/>
        <w:rPr>
          <w:sz w:val="20"/>
          <w:szCs w:val="20"/>
          <w:color w:val="auto"/>
        </w:rPr>
      </w:pPr>
    </w:p>
    <w:p>
      <w:pPr>
        <w:ind w:right="300" w:firstLine="891"/>
        <w:spacing w:after="0" w:line="282"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40" w:type="dxa"/>
            <w:vAlign w:val="bottom"/>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9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uncollectible accounts</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227"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(Topic 820): Disclosure Framework – Changes to the Disclosure Requirements for Fair Value Measurement, </w:t>
      </w:r>
      <w:r>
        <w:rPr>
          <w:rFonts w:ascii="Times New Roman" w:cs="Times New Roman" w:eastAsia="Times New Roman" w:hAnsi="Times New Roman"/>
          <w:sz w:val="18"/>
          <w:szCs w:val="18"/>
          <w:color w:val="auto"/>
        </w:rPr>
        <w:t>which eliminates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unaudited condensed consolidated financial statements.</w:t>
      </w:r>
    </w:p>
    <w:p>
      <w:pPr>
        <w:spacing w:after="0" w:line="183"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This standard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unaudited condensed consolidated financial statements.</w:t>
      </w:r>
    </w:p>
    <w:p>
      <w:pPr>
        <w:spacing w:after="0" w:line="183" w:lineRule="exact"/>
        <w:rPr>
          <w:sz w:val="20"/>
          <w:szCs w:val="20"/>
          <w:color w:val="auto"/>
        </w:rPr>
      </w:pPr>
    </w:p>
    <w:p>
      <w:pPr>
        <w:ind w:right="200" w:firstLine="891"/>
        <w:spacing w:after="0" w:line="284"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which addresses the cost and complexity of financial reporting associated with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consolidation of 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unaudited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is currently evaluating the impact of this standard to the Company's financial statements.</w:t>
      </w:r>
    </w:p>
    <w:p>
      <w:pPr>
        <w:spacing w:after="0" w:line="188"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The Company is currently evaluating the impact of this standard to the Company's financial statements.</w:t>
      </w:r>
    </w:p>
    <w:p>
      <w:pPr>
        <w:spacing w:after="0" w:line="183"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w:t>
      </w:r>
      <w:r>
        <w:rPr>
          <w:rFonts w:ascii="Times New Roman" w:cs="Times New Roman" w:eastAsia="Times New Roman" w:hAnsi="Times New Roman"/>
          <w:sz w:val="18"/>
          <w:szCs w:val="18"/>
          <w:i w:val="1"/>
          <w:iCs w:val="1"/>
          <w:color w:val="auto"/>
        </w:rPr>
        <w:t>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The Company is evaluating the effect of adopting this new accounting guidance, but does not expect adoption will have a material impact on the Company’s financial statements.</w:t>
      </w:r>
    </w:p>
    <w:p>
      <w:pPr>
        <w:spacing w:after="0" w:line="185"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 xml:space="preserve">In October 2020, the FASB issued ASU 2020-10,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The Company is evaluating the effect of adopting this new accounting guidance, but does not expect adoption will have a material impact on the Company’s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October 31, 2020, the Company controls a majority of the outstanding common stock in nCino K.K.</w:t>
      </w:r>
    </w:p>
    <w:p>
      <w:pPr>
        <w:spacing w:after="0" w:line="180"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$0.3 million at October 31, 2020.</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by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6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and accounts payable approximate fair value as of January 31, 2020 and October 31, 2020 because of the relatively short duration of these instruments.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October 31, 2020 and indicates the fair value hierarchy of the valuation:</w:t>
      </w:r>
    </w:p>
    <w:p>
      <w:pPr>
        <w:spacing w:after="0" w:line="20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31, 2020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other long-term liabilities)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other accrued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The Company added contingent consideration, a Level 3 measurement, on October 18, 2019 with the acquisition of FinSuite Pty Ltd ("FinSuite").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and nine months ended October 31, 2020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8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3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132,155</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37,862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891"/>
        <w:spacing w:after="0" w:line="282"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No country outside the United States represented 10% or more of total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Amounts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2020 and October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0" w:type="dxa"/>
            <w:vAlign w:val="bottom"/>
          </w:tcPr>
          <w:p>
            <w:pPr>
              <w:spacing w:after="0"/>
              <w:rPr>
                <w:sz w:val="13"/>
                <w:szCs w:val="13"/>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October 31,</w:t>
            </w:r>
          </w:p>
        </w:tc>
      </w:tr>
      <w:tr>
        <w:trPr>
          <w:trHeight w:val="189"/>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 and Remaining Performance Obligation</w:t>
      </w:r>
    </w:p>
    <w:p>
      <w:pPr>
        <w:spacing w:after="0" w:line="225"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prior to transfer of control of the underlying performance obligations to the customer, which were offset by decreases due to revenues recognized in the period. During the nine months ended October 31, 2020, $53.8 million of revenues were recognized that were included in the balance of deferred revenue as of January 31, 2020.</w:t>
      </w:r>
    </w:p>
    <w:p>
      <w:pPr>
        <w:spacing w:after="0" w:line="180"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83"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$452.9 million as of October 31, 2020. The Company expects to recognize approximately 66% of its remaining performance obligation as revenues in the next 24 months, approximately 31% more in the following 25 to 48 months, and the remainder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Visible Equity, LLC</w:t>
      </w:r>
    </w:p>
    <w:p>
      <w:pPr>
        <w:spacing w:after="0" w:line="229" w:lineRule="exact"/>
        <w:rPr>
          <w:sz w:val="20"/>
          <w:szCs w:val="20"/>
          <w:color w:val="auto"/>
        </w:rPr>
      </w:pPr>
    </w:p>
    <w:p>
      <w:pPr>
        <w:jc w:val="both"/>
        <w:ind w:right="500" w:firstLine="891"/>
        <w:spacing w:after="0" w:line="266" w:lineRule="auto"/>
        <w:rPr>
          <w:sz w:val="20"/>
          <w:szCs w:val="20"/>
          <w:color w:val="auto"/>
        </w:rPr>
      </w:pPr>
      <w:r>
        <w:rPr>
          <w:rFonts w:ascii="Times New Roman" w:cs="Times New Roman" w:eastAsia="Times New Roman" w:hAnsi="Times New Roman"/>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9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to members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Voting common stock issued (1,438,805 shares)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FinSuite Pty Ltd</w:t>
      </w:r>
    </w:p>
    <w:p>
      <w:pPr>
        <w:spacing w:after="0" w:line="229" w:lineRule="exact"/>
        <w:rPr>
          <w:sz w:val="20"/>
          <w:szCs w:val="20"/>
          <w:color w:val="auto"/>
        </w:rPr>
      </w:pPr>
    </w:p>
    <w:p>
      <w:pPr>
        <w:ind w:right="340" w:firstLine="891"/>
        <w:spacing w:after="0" w:line="266" w:lineRule="auto"/>
        <w:rPr>
          <w:sz w:val="20"/>
          <w:szCs w:val="20"/>
          <w:color w:val="auto"/>
        </w:rPr>
      </w:pPr>
      <w:r>
        <w:rPr>
          <w:rFonts w:ascii="Times New Roman" w:cs="Times New Roman" w:eastAsia="Times New Roman" w:hAnsi="Times New Roman"/>
          <w:sz w:val="18"/>
          <w:szCs w:val="18"/>
          <w:color w:val="auto"/>
        </w:rPr>
        <w:t>On October 18, 2019, the Company, through its wholly-owned subsidiary, nCino APAC Pty Ltd, acquired all of the outstanding shares of FinSuite. The Company acquired FinSuite to enhance the Company’s data recognition capabilities, including of complex, unstructured data. FinSuite is headquartered in Melbourne, Australia.</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acquisition-date fair value of the consideration transferred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9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to shareholders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to settle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Voting common stock issued (63,967 shares)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 cash payment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r>
      <w:tr>
        <w:trPr>
          <w:trHeight w:val="21"/>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will end one year from the acquisition date.</w:t>
      </w:r>
    </w:p>
    <w:p>
      <w:pPr>
        <w:spacing w:after="0" w:line="176" w:lineRule="exact"/>
        <w:rPr>
          <w:sz w:val="20"/>
          <w:szCs w:val="20"/>
          <w:color w:val="auto"/>
        </w:rPr>
      </w:pPr>
    </w:p>
    <w:p>
      <w:pPr>
        <w:ind w:right="180" w:firstLine="891"/>
        <w:spacing w:after="0" w:line="255" w:lineRule="auto"/>
        <w:rPr>
          <w:sz w:val="20"/>
          <w:szCs w:val="20"/>
          <w:color w:val="auto"/>
        </w:rPr>
      </w:pPr>
      <w:r>
        <w:rPr>
          <w:rFonts w:ascii="Times New Roman" w:cs="Times New Roman" w:eastAsia="Times New Roman" w:hAnsi="Times New Roman"/>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firstLine="891"/>
        <w:spacing w:after="0" w:line="261" w:lineRule="auto"/>
        <w:rPr>
          <w:sz w:val="20"/>
          <w:szCs w:val="20"/>
          <w:color w:val="auto"/>
        </w:rPr>
      </w:pPr>
      <w:r>
        <w:rPr>
          <w:rFonts w:ascii="Times New Roman" w:cs="Times New Roman" w:eastAsia="Times New Roman" w:hAnsi="Times New Roman"/>
          <w:sz w:val="18"/>
          <w:szCs w:val="18"/>
          <w:color w:val="auto"/>
        </w:rPr>
        <w:t>The cash portion of the contingent consideration of $0.2 million is included in other long-term liabilities and other accrued expenses in the accompanying unaudited condensed consolidated balance sheet as of January 31, 2020 and October 31, 2020, respectively. The share portion of the contingent consideration was recorded as of the acquisition date and is reflected as a component of stockholders’ equity in the accompanying unaudited condensed consolidated balance sheet as of January 31, 2020 and October 31, 2020.</w:t>
      </w:r>
    </w:p>
    <w:p>
      <w:pPr>
        <w:spacing w:after="0" w:line="180"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Initial Tranche Earn-Out was earned during the quarter ended October 31, 2020 and the Final Tranche Earn-Out was earned in November 2020. The Company paid $0.2 million for the cash portion of the contingent consideration and issued 285,692 shares of common stock for the common stock contingent consideration for the Initial Tranche Earn-Out and Final Tranche Earn-Out in November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3"/>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6"/>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6"/>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396"/>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20" w:type="dxa"/>
            <w:vAlign w:val="bottom"/>
          </w:tcPr>
          <w:p>
            <w:pPr>
              <w:jc w:val="right"/>
              <w:ind w:right="156"/>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9"/>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19,521</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23,790</w:t>
            </w: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48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260" w:type="dxa"/>
            <w:vAlign w:val="bottom"/>
            <w:gridSpan w:val="8"/>
          </w:tcPr>
          <w:p>
            <w:pPr>
              <w:ind w:left="88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October 31, 2020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Ending January 31,</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(remaining)</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goodwill was $55.8 million and $56.3 million as of January 31, 2020 and October 31, 2020, respectively. The change in the carrying amounts of goodwill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3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46,584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55,840</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56,111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56,298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56,111</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56,298</w:t>
            </w: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Reseller Agreement</w:t>
      </w:r>
    </w:p>
    <w:p>
      <w:pPr>
        <w:spacing w:after="0" w:line="229"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nine months ended October 31, 2019 and 2020 substantially consists of fees paid for access to the related party’s platform, including their hosting infrastructure and data center operations. The Company has recorded expenses of $5.8 million and $9.1 million for the three months ended October 31, 2019 and 2020, respectively and $16.2 million and $25.3 million for the nine months ended October 31, 2019 and 2020, respectively. See also Note 12.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Pursuant to the fourth certificate of amendment to the Company's third amended and restated certificate of incorporation dated 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 of 500,000,000 authorized shares, par value $0.0005 per share and the Company's preferred stock consists of 10,000,000 authorized shares, par value $0.001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At October 31, 2020, the Company committed a total of 23,966,108 shares of common stock for future issuance as follows:</w:t>
            </w:r>
          </w:p>
        </w:tc>
        <w:tc>
          <w:tcPr>
            <w:tcW w:w="1440" w:type="dxa"/>
            <w:vAlign w:val="bottom"/>
          </w:tcPr>
          <w:p>
            <w:pPr>
              <w:spacing w:after="0"/>
              <w:rPr>
                <w:sz w:val="20"/>
                <w:szCs w:val="20"/>
                <w:color w:val="auto"/>
              </w:rPr>
            </w:pPr>
          </w:p>
        </w:tc>
      </w:tr>
      <w:tr>
        <w:trPr>
          <w:trHeight w:val="243"/>
        </w:trPr>
        <w:tc>
          <w:tcPr>
            <w:tcW w:w="98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6,620,274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 and vested RSUs not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2,059,799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issuance under stock plans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15,286,035</w:t>
            </w:r>
          </w:p>
        </w:tc>
      </w:tr>
      <w:tr>
        <w:trPr>
          <w:trHeight w:val="223"/>
        </w:trPr>
        <w:tc>
          <w:tcPr>
            <w:tcW w:w="98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23,966,108</w:t>
            </w:r>
          </w:p>
        </w:tc>
      </w:tr>
      <w:tr>
        <w:trPr>
          <w:trHeight w:val="20"/>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right="120" w:firstLine="891"/>
        <w:spacing w:after="0" w:line="281" w:lineRule="auto"/>
        <w:rPr>
          <w:sz w:val="20"/>
          <w:szCs w:val="20"/>
          <w:color w:val="auto"/>
        </w:rPr>
      </w:pPr>
      <w:r>
        <w:rPr>
          <w:rFonts w:ascii="Times New Roman" w:cs="Times New Roman" w:eastAsia="Times New Roman" w:hAnsi="Times New Roman"/>
          <w:sz w:val="17"/>
          <w:szCs w:val="17"/>
          <w:color w:val="auto"/>
        </w:rPr>
        <w:t>The Company has stock-based compensation plans that provide for the award of equity incentives, including stock options, stock appreciation rights, restricted stock awards, restricted stock units, performance shares, performance units, cash-based award and other stock-based awards. As of October 31, 2020, the Company had stock options outstanding under the 2014 Stock Plan ("2014 Plan") and the 2019 Equity Incentive Plan (as amended and restated, "2019 Plan") had stock options and RSUs outstanding. As of October 31, 2020, the Company also has an employee stock purchase plan.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18"/>
          <w:szCs w:val="18"/>
          <w:color w:val="auto"/>
        </w:rPr>
        <w:t>In connection with the IPO, the Board of Directors adopted and stockholders approved the 2019 Plan to, among other things as defined in the 2019 Plan document, increase the available shares under the Plan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during the nine months ended October 31, 2020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October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6,620,274</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October 31, 2020</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5,026,583</w:t>
            </w:r>
          </w:p>
        </w:tc>
        <w:tc>
          <w:tcPr>
            <w:tcW w:w="32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October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6,460,905</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As of October 31, 2020, there was $4.3 million of total unrecognized compensation expense related to unvested stock-based compensation arrangements under the 2014 and 2019 Plans. That cost is expected to be recognized over a weighted average period of 1.92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Restricted stock unit (“RSU”) activity during the nine months ended October 31, 2020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October 31,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225,173 RSUs that were not issued and outstanding as of October 31, 2020.</w:t>
      </w:r>
    </w:p>
    <w:p>
      <w:pPr>
        <w:spacing w:after="0" w:line="171" w:lineRule="exact"/>
        <w:rPr>
          <w:sz w:val="20"/>
          <w:szCs w:val="20"/>
          <w:color w:val="auto"/>
        </w:rPr>
      </w:pPr>
    </w:p>
    <w:p>
      <w:pPr>
        <w:ind w:right="340" w:firstLine="891"/>
        <w:spacing w:after="0" w:line="261" w:lineRule="auto"/>
        <w:rPr>
          <w:sz w:val="20"/>
          <w:szCs w:val="20"/>
          <w:color w:val="auto"/>
        </w:rPr>
      </w:pPr>
      <w:r>
        <w:rPr>
          <w:rFonts w:ascii="Times New Roman" w:cs="Times New Roman" w:eastAsia="Times New Roman" w:hAnsi="Times New Roman"/>
          <w:sz w:val="18"/>
          <w:szCs w:val="18"/>
          <w:color w:val="auto"/>
        </w:rPr>
        <w:t>The RSUs granted prior to the IPO vest upon the satisfaction of both a service-based,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IPO and the Company recognized an expense of $12.2 million in cost of revenues and operating expenses for RSUs as of that date, using the accelerated attribution recognition method.</w:t>
      </w:r>
    </w:p>
    <w:p>
      <w:pPr>
        <w:spacing w:after="0" w:line="180"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2020, total unrecognized compensation expense related to non-vested RSUs was $26.4 million, adjusted for estimated forfeitures, based on the estimated fair value of the Company’s common stock at the time of grant. The weighted-average period to be recognized is 3.29 years.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October 31, 2020, 1,800,000 shares of common stock remain available for grant under the ESPP.</w:t>
      </w:r>
    </w:p>
    <w:p>
      <w:pPr>
        <w:spacing w:after="0" w:line="188"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right="50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62" w:lineRule="exact"/>
        <w:rPr>
          <w:sz w:val="20"/>
          <w:szCs w:val="20"/>
          <w:color w:val="auto"/>
        </w:rPr>
      </w:pPr>
    </w:p>
    <w:p>
      <w:pPr>
        <w:ind w:right="520" w:firstLine="891"/>
        <w:spacing w:after="0" w:line="282" w:lineRule="auto"/>
        <w:rPr>
          <w:sz w:val="20"/>
          <w:szCs w:val="20"/>
          <w:color w:val="auto"/>
        </w:rPr>
      </w:pPr>
      <w:r>
        <w:rPr>
          <w:rFonts w:ascii="Times New Roman" w:cs="Times New Roman" w:eastAsia="Times New Roman" w:hAnsi="Times New Roman"/>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6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62"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Total lease expense amounted to $2.3 million and $3.0 million for the three months ended October 31, 2019 and 2020, respectively and $6.2 million and $8.4 million for the nine months ended October 31, 2019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Related-Party Transactions</w:t>
      </w:r>
    </w:p>
    <w:p>
      <w:pPr>
        <w:spacing w:after="0" w:line="16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has a non-cancellable agreement with the related party for the purchase of services. In December 2020, this agreement was renewed for</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year and expires in December 2021. Total payments to the related party for these services recorded to expenses were $0.3 million and $0.3 million for the three months ended October 31, 2019 and 2020, respectively, and $0.8 million and $0.9 million for the nine months ended October 31, 2019 and 2020, respectively and $1.1 million and $0.2 million were in prepaid expenses and other current assets as of January 31, 2020 and October 31, 2020, respectively. Accounts payable to the related party were $3.3 million and $4.1 million at January 31, 2020 and October 31, 2020, respectively, included in accounts payable, related parties.</w:t>
      </w:r>
    </w:p>
    <w:p>
      <w:pPr>
        <w:spacing w:after="0" w:line="183"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In the quarter ended July 31, 2020 certain equity holders ceased to qualify as related parties of the Company and the amounts disclosed related to them are accordingly presented through April 30, 2020 only. Included in revenues from three equity holders, who are also customers of the Company, is $2.0 million for the three months ended October 31, 2019, and $6.3 million and $2.8 million for the nine months ended October 31, 2019 and 2020, respectively. Deferred revenue, current portion, related parties was $8.0 million as of January 31, 2020. Accounts receivable, related parties was $9.2 million as of January 31, 2020.</w:t>
      </w:r>
    </w:p>
    <w:p>
      <w:pPr>
        <w:spacing w:after="0" w:line="183" w:lineRule="exact"/>
        <w:rPr>
          <w:sz w:val="20"/>
          <w:szCs w:val="20"/>
          <w:color w:val="auto"/>
        </w:rPr>
      </w:pPr>
    </w:p>
    <w:p>
      <w:pPr>
        <w:ind w:right="220" w:firstLine="891"/>
        <w:spacing w:after="0" w:line="261" w:lineRule="auto"/>
        <w:rPr>
          <w:sz w:val="20"/>
          <w:szCs w:val="20"/>
          <w:color w:val="auto"/>
        </w:rPr>
      </w:pPr>
      <w:r>
        <w:rPr>
          <w:rFonts w:ascii="Times New Roman" w:cs="Times New Roman" w:eastAsia="Times New Roman" w:hAnsi="Times New Roman"/>
          <w:sz w:val="18"/>
          <w:szCs w:val="18"/>
          <w:color w:val="auto"/>
        </w:rPr>
        <w:t>The Company has a banking relationship with one of its former equity holders who was considered a related party. In the quarter ended July 31, 2020, the equity holder ceased to qualify as a related party of the Company and the amounts disclosed related to such former equity holder are accordingly presented as a related party through April 30, 2020, only. Included in interest income is $0.1 million for the three months ended October 31, 2019, and $0.5 million and $0.1 million for the nine months ended October 31, 2019 and 2020, respectively.</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entered into an agreement with one of its equity holders in May 2016 to spend an agreed-upon amount of funds over a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 to further the alliance between the two companies. In October 2019, the agreement was extended for an additional three years.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2020, the Company was in compliance with the terms of the agreement. In the quarter ended July 31, 2020, the equity holder ceased to qualify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related party of the Company and the amounts disclosed related to such equity holder are accordingly presented as a related party through April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only. For the three months ended October 31, 2019, $0.04 million was spent, and $0.06 million and $0.0 million for the nine months ended October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2019 and 2020,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Basic and Diluted Loss per Share</w:t>
      </w:r>
    </w:p>
    <w:p>
      <w:pPr>
        <w:spacing w:after="0" w:line="229" w:lineRule="exact"/>
        <w:rPr>
          <w:sz w:val="20"/>
          <w:szCs w:val="20"/>
          <w:color w:val="auto"/>
        </w:rPr>
      </w:pPr>
    </w:p>
    <w:p>
      <w:pPr>
        <w:ind w:right="280" w:firstLine="891"/>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October 31, 2019 and 2020 and for the nine months ended October 31, 2019 and 2020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2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79,382,419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77,277,039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85,962,141</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loss per share attributable to nCino,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loss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Weighted-average common shares outstanding</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79,382,419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77,277,039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85,962,141</w:t>
            </w:r>
          </w:p>
        </w:tc>
      </w:tr>
      <w:tr>
        <w:trPr>
          <w:trHeight w:val="234"/>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loss per share attributable to nCino,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189"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207,673 vested RSUs that were not issued and outstanding and contingent consideration of 142,846 shares of common stock that was earned but not issued and outstanding for the three months ended October 31, 2020 and 225,173 vested RSUs that were not issued and outstanding and contingent consideration of 142,846 shares of common stock that was earned but not issued and outstanding for the nine months ended October 31, 2020.</w:t>
      </w:r>
    </w:p>
    <w:p>
      <w:pPr>
        <w:spacing w:after="0" w:line="20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Pr>
          <w:p>
            <w:pPr>
              <w:spacing w:after="0"/>
              <w:rPr>
                <w:sz w:val="16"/>
                <w:szCs w:val="16"/>
                <w:color w:val="auto"/>
              </w:rPr>
            </w:pPr>
          </w:p>
        </w:tc>
        <w:tc>
          <w:tcPr>
            <w:tcW w:w="19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80" w:type="dxa"/>
            <w:vAlign w:val="bottom"/>
            <w:tcBorders>
              <w:bottom w:val="single" w:sz="8" w:color="auto"/>
            </w:tcBorders>
          </w:tcPr>
          <w:p>
            <w:pPr>
              <w:spacing w:after="0"/>
              <w:rPr>
                <w:sz w:val="16"/>
                <w:szCs w:val="16"/>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7,873,032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6,620,274</w:t>
            </w: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835,627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1,834,626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November 29, 2020, the Company entered into a lease (the “Lease”) with a new lessor (the “Landlord”), pursuant to which the Company will continue to lease approximately 89,975 square feet of space for its existing corporate headquarters (the "Premises").</w:t>
      </w:r>
    </w:p>
    <w:p>
      <w:pPr>
        <w:spacing w:after="0" w:line="1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date on which the Lease will commence will be no later than the Closing, defined below, currently estimated to occur on or before December 22, 2020 (the “Commencement Date”). The Lease will have a fifteen-year term concluding December 31, 2035, which, upon execution of the New Building Lease, as defined below, would be extended to be coterminous with the New Building Lease. The Company has the option to extend the Lease for two eight-year terms. The Company’s monthly base rent for the Premises will be approximately $0.1 million per month, and will increase on January 1, 2022 and each anniversary of such date by approximately 2.25% per annum, subject to an anticipated increase in base rent to account for development of a parking deck. The Company will also be obligated to pay certain other expenses under the Lease pursuant to a triple net return obligation to the Landlord.</w:t>
      </w:r>
    </w:p>
    <w:p>
      <w:pPr>
        <w:spacing w:after="0" w:line="21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Company is currently in possession of the Premises pursuant to the Office Lease dated March 10, 2017 (as amended) between the Company and the previous lessor (the “Prior Lease”). The Prior Lease will be terminated by an agreement of the Company and the previous lessor in connection with the Landlord’s acquisition of record title to the property the Premises is located on (the "Property") pursuant to the purchase option provided in the Prior Lease (which is expected to be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assigned by the Company to the Landlord), for a purchase price of $16.3 million (the “Closing”) and the effectiveness of the Lease, such that the Company’s possession of the Premises shall be uninterrupted.</w:t>
      </w:r>
    </w:p>
    <w:p>
      <w:pPr>
        <w:spacing w:after="0" w:line="18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Lease is conditioned upon the Closing. In the event the Closing has not occurred on or before December 22, 2020, the Lease shall be deemed automatically terminated, and the Company shall then be obligated to acquire the Property pursuant to the same purchase option provided in the Prior Lease no later than December 30, 2020.</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Pursuant to a separate agreement to be entered into by the Company and the Landlord prior to Closing, the (i) Landlord is obligated to negotiate an amendment to the Lease to allow for construction of a 648-space parking deck on the Property for the Company, the development costs of which will be added to base rent under the Lease, and (ii) Company will have the option (the “New Building Option”) to require the Landlord to enter into negotiations for a new lease agreement (the “New Building Lease”) for a term of fifteen years, to allow for the construction by the Landlord and leasing by the Company of an additional three-story office building of approximately 90,000 rentable square feet (the “New Building”) on the Property, which lease would commence upon completion of construction of the New Building and tenant improvements therein. The Company may exercise the New Building Option on or before the fourth anniversary of the Closing.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final prospectus for the Secondary Offering dated October 7, 2020 and filed with the SEC pursuant to Rule 424(b)(4) on October 9, 2020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 refer to the fiscal year ended January 31,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891"/>
        <w:spacing w:after="0" w:line="272" w:lineRule="auto"/>
        <w:rPr>
          <w:sz w:val="20"/>
          <w:szCs w:val="20"/>
          <w:color w:val="auto"/>
        </w:rPr>
      </w:pPr>
      <w:r>
        <w:rPr>
          <w:rFonts w:ascii="Times New Roman" w:cs="Times New Roman" w:eastAsia="Times New Roman" w:hAnsi="Times New Roman"/>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2"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62"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commercial, small business and retail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financial results,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efficiently,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data, audit and business intelligence hub.</w:t>
      </w:r>
    </w:p>
    <w:p>
      <w:pPr>
        <w:spacing w:after="0" w:line="225"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w:t>
      </w:r>
    </w:p>
    <w:p>
      <w:pPr>
        <w:spacing w:after="0" w:line="192" w:lineRule="exact"/>
        <w:rPr>
          <w:sz w:val="20"/>
          <w:szCs w:val="20"/>
          <w:color w:val="auto"/>
        </w:rPr>
      </w:pPr>
    </w:p>
    <w:p>
      <w:pPr>
        <w:ind w:firstLine="891"/>
        <w:spacing w:after="0" w:line="277" w:lineRule="auto"/>
        <w:rPr>
          <w:sz w:val="20"/>
          <w:szCs w:val="20"/>
          <w:color w:val="auto"/>
        </w:rPr>
      </w:pPr>
      <w:r>
        <w:rPr>
          <w:rFonts w:ascii="Times New Roman" w:cs="Times New Roman" w:eastAsia="Times New Roman" w:hAnsi="Times New Roman"/>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October 31, 2020, we had 144 sales and sales support personnel in the United States, and 58 sales and support personnel in offices outside the United States.</w:t>
      </w:r>
    </w:p>
    <w:p>
      <w:pPr>
        <w:spacing w:after="0" w:line="200" w:lineRule="exact"/>
        <w:rPr>
          <w:sz w:val="20"/>
          <w:szCs w:val="20"/>
          <w:color w:val="auto"/>
        </w:rPr>
      </w:pPr>
    </w:p>
    <w:p>
      <w:pPr>
        <w:spacing w:after="0" w:line="204"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To help customers go live with our solution and achieve success, we offer professional services including configuration and implementation, training and advisory services. For larger financial institutions, we generally work with systems integrators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87" w:lineRule="exact"/>
        <w:rPr>
          <w:sz w:val="20"/>
          <w:szCs w:val="20"/>
          <w:color w:val="auto"/>
        </w:rPr>
      </w:pPr>
    </w:p>
    <w:p>
      <w:pPr>
        <w:ind w:right="200" w:firstLine="891"/>
        <w:spacing w:after="0" w:line="277" w:lineRule="auto"/>
        <w:rPr>
          <w:sz w:val="20"/>
          <w:szCs w:val="20"/>
          <w:color w:val="auto"/>
        </w:rPr>
      </w:pPr>
      <w:r>
        <w:rPr>
          <w:rFonts w:ascii="Times New Roman" w:cs="Times New Roman" w:eastAsia="Times New Roman" w:hAnsi="Times New Roman"/>
          <w:sz w:val="17"/>
          <w:szCs w:val="17"/>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68"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31, 2020 and 2019, our total revenues were $54.2 million and $37.9 million, respectively, representing a 43.2% increase, and our subscription revenues were $43.3 million and $27.7 million, respectively, representing a 56.4% increase. We had net losses attributable to nCino of $9.1 million and $6.0 million for the three months ended October 31, 2020 and 2019, respectively. For the nine months ended October 31, 2020 and 2019, our total revenues were $147.7 million and $99.7 million, respectively, representing a 48.2% increase, and our subscription revenues were $117.5 million and $71.8 million, respectively, representing a 63.6% increase. We had net losses attributable to nCino of $28.5 million and $18.0 million for the nine months ended October 31, 2020 and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ind w:right="18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Initial Public Offering. </w:t>
      </w:r>
      <w:r>
        <w:rPr>
          <w:rFonts w:ascii="Times New Roman" w:cs="Times New Roman" w:eastAsia="Times New Roman" w:hAnsi="Times New Roman"/>
          <w:sz w:val="18"/>
          <w:szCs w:val="18"/>
          <w:color w:val="auto"/>
        </w:rPr>
        <w:t>On July 13, 2020, our Registration Statement on Form S-1 relating to the IPO of our common stock was declared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by the SEC. In connection with the IPO, we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October 31, 2020).</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Secondary Public Offering. </w:t>
      </w:r>
      <w:r>
        <w:rPr>
          <w:rFonts w:ascii="Times New Roman" w:cs="Times New Roman" w:eastAsia="Times New Roman" w:hAnsi="Times New Roman"/>
          <w:sz w:val="18"/>
          <w:szCs w:val="18"/>
          <w:color w:val="auto"/>
        </w:rPr>
        <w:t>On October 13, 2020, the Company completed the Secondary Offering. The Company did not offer any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 the Secondary Offering and did not receive any proceeds from the sale of the shares of common stock by the Selling Stockholders. The Company incurred costs of $1.0 million in relation to the Secondary Offering for the three and nine months ended October 31, 2020 and such costs are recorded as a component of general and administrative expenses on the unaudited condensed consolidated statement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18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financial institution customers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markets accounted for 12.2% of our total revenues for the three months ended October 31, 2020, and 10.5% for the nine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months ended October 31,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3"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the nCino Bank Operating System by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82" w:lineRule="exact"/>
        <w:rPr>
          <w:sz w:val="20"/>
          <w:szCs w:val="20"/>
          <w:color w:val="auto"/>
        </w:rPr>
      </w:pPr>
    </w:p>
    <w:p>
      <w:pPr>
        <w:ind w:right="28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COVID-19 Effects on Demand for Our Solution</w:t>
      </w:r>
      <w:r>
        <w:rPr>
          <w:rFonts w:ascii="Times New Roman" w:cs="Times New Roman" w:eastAsia="Times New Roman" w:hAnsi="Times New Roman"/>
          <w:sz w:val="18"/>
          <w:szCs w:val="18"/>
          <w:color w:val="auto"/>
        </w:rPr>
        <w:t>. To help our customers service demand for Paycheck Protection Program ("PPP")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80"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85"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Operating Loss. </w:t>
      </w:r>
      <w:r>
        <w:rPr>
          <w:rFonts w:ascii="Times New Roman" w:cs="Times New Roman" w:eastAsia="Times New Roman" w:hAnsi="Times New Roman"/>
          <w:sz w:val="18"/>
          <w:szCs w:val="18"/>
          <w:color w:val="auto"/>
        </w:rPr>
        <w:t>Non-GAAP Operating Loss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85"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74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Loss to Loss from Operations, the most directly comparable financial measure, calculated and presented in accordance with GAAP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30"/>
        </w:trPr>
        <w:tc>
          <w:tcPr>
            <w:tcW w:w="5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19,613</w:t>
            </w:r>
          </w:p>
        </w:tc>
      </w:tr>
      <w:tr>
        <w:trPr>
          <w:trHeight w:val="223"/>
        </w:trPr>
        <w:tc>
          <w:tcPr>
            <w:tcW w:w="5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fees.</w:t>
      </w:r>
    </w:p>
    <w:p>
      <w:pPr>
        <w:spacing w:after="0" w:line="223" w:lineRule="exact"/>
        <w:rPr>
          <w:sz w:val="20"/>
          <w:szCs w:val="20"/>
          <w:color w:val="auto"/>
        </w:rPr>
      </w:pPr>
    </w:p>
    <w:p>
      <w:pPr>
        <w:ind w:right="6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the nCino Bank Operating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and support services that we offer under non-cancellable multi-year contracts, which typically range from three to five years. Specifically, we offer:</w:t>
      </w:r>
    </w:p>
    <w:p>
      <w:pPr>
        <w:spacing w:after="0" w:line="175" w:lineRule="exact"/>
        <w:rPr>
          <w:sz w:val="20"/>
          <w:szCs w:val="20"/>
          <w:color w:val="auto"/>
        </w:rPr>
      </w:pPr>
    </w:p>
    <w:p>
      <w:pPr>
        <w:ind w:left="1300" w:right="5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charge as a percentage of the related subscription fees.</w:t>
      </w:r>
    </w:p>
    <w:p>
      <w:pPr>
        <w:spacing w:after="0" w:line="162"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nCino Bank Operating System. When we resell such access, we charge a higher subscription price and remit a higher subscription fee to Salesforce for these subscriptions.</w:t>
      </w:r>
    </w:p>
    <w:p>
      <w:pPr>
        <w:spacing w:after="0" w:line="160"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i w:val="1"/>
          <w:iCs w:val="1"/>
          <w:color w:val="auto"/>
        </w:rPr>
        <w:t>Professional Services Revenues</w:t>
      </w:r>
      <w:r>
        <w:rPr>
          <w:rFonts w:ascii="Times New Roman" w:cs="Times New Roman" w:eastAsia="Times New Roman" w:hAnsi="Times New Roman"/>
          <w:sz w:val="18"/>
          <w:szCs w:val="18"/>
          <w:color w:val="auto"/>
        </w:rPr>
        <w:t>. Professional services revenues consist of fees for implementation and configuration assistance, training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primarily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Revenues</w:t>
      </w:r>
      <w:r>
        <w:rPr>
          <w:rFonts w:ascii="Times New Roman" w:cs="Times New Roman" w:eastAsia="Times New Roman" w:hAnsi="Times New Roman"/>
          <w:sz w:val="18"/>
          <w:szCs w:val="18"/>
          <w:color w:val="auto"/>
        </w:rPr>
        <w:t>. Cost of professional services revenues consists primarily of personnel-related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83" w:lineRule="exact"/>
        <w:rPr>
          <w:sz w:val="20"/>
          <w:szCs w:val="20"/>
          <w:color w:val="auto"/>
        </w:rPr>
      </w:pPr>
    </w:p>
    <w:p>
      <w:pPr>
        <w:ind w:right="16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76"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60" w:firstLine="891"/>
        <w:spacing w:after="0" w:line="255" w:lineRule="auto"/>
        <w:rPr>
          <w:sz w:val="20"/>
          <w:szCs w:val="20"/>
          <w:color w:val="auto"/>
        </w:rPr>
      </w:pPr>
      <w:r>
        <w:rPr>
          <w:rFonts w:ascii="Times New Roman" w:cs="Times New Roman" w:eastAsia="Times New Roman" w:hAnsi="Times New Roman"/>
          <w:sz w:val="18"/>
          <w:szCs w:val="18"/>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the liquidity-based vesting condition was satisfied upon the IPO. For the three and nine months ended October 31, 2020, we recognized $4.6 million and $16.8 million of stock-based based compensation expense, respectively, related to RSUs being recognized upon the effective date of the IPO and additional vesting of RSUs since such time ($12.2 million of which was recognized on the effective date of the IPO). Going forward, stock-based compensation expense for both stock options and RSUs will be recognized as the time-based vesting conditions under such awards are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The following tables present our selected consolidated statement of operations data for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2019 and 2020 in both dollars and as a percentage of total revenues, except as noted.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4"/>
        </w:trPr>
        <w:tc>
          <w:tcPr>
            <w:tcW w:w="5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subscription revenues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professional services revenues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112,491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79,382,419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91,600,203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77,277,039</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85,962,141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19,613</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10"/>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3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73.1 %</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40" w:type="dxa"/>
            <w:vAlign w:val="bottom"/>
          </w:tcPr>
          <w:p>
            <w:pPr>
              <w:spacing w:after="0"/>
              <w:rPr>
                <w:sz w:val="19"/>
                <w:szCs w:val="19"/>
                <w:color w:val="auto"/>
              </w:rPr>
            </w:pPr>
          </w:p>
        </w:tc>
        <w:tc>
          <w:tcPr>
            <w:tcW w:w="15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79.5 %</w:t>
            </w: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shd w:val="clear" w:color="auto" w:fill="CCEEFF"/>
          </w:tcPr>
          <w:p>
            <w:pPr>
              <w:spacing w:after="0"/>
              <w:rPr>
                <w:sz w:val="19"/>
                <w:szCs w:val="19"/>
                <w:color w:val="auto"/>
              </w:rPr>
            </w:pPr>
          </w:p>
        </w:tc>
        <w:tc>
          <w:tcPr>
            <w:tcW w:w="14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3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175"/>
        </w:trPr>
        <w:tc>
          <w:tcPr>
            <w:tcW w:w="456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19"/>
                <w:szCs w:val="19"/>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shd w:val="clear" w:color="auto" w:fill="CCEEFF"/>
          </w:tcPr>
          <w:p>
            <w:pPr>
              <w:spacing w:after="0"/>
              <w:rPr>
                <w:sz w:val="19"/>
                <w:szCs w:val="19"/>
                <w:color w:val="auto"/>
              </w:rPr>
            </w:pPr>
          </w:p>
        </w:tc>
        <w:tc>
          <w:tcPr>
            <w:tcW w:w="14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3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shd w:val="clear" w:color="auto" w:fill="CCEEFF"/>
          </w:tcPr>
          <w:p>
            <w:pPr>
              <w:spacing w:after="0"/>
              <w:rPr>
                <w:sz w:val="19"/>
                <w:szCs w:val="19"/>
                <w:color w:val="auto"/>
              </w:rPr>
            </w:pPr>
          </w:p>
        </w:tc>
        <w:tc>
          <w:tcPr>
            <w:tcW w:w="14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19"/>
                <w:szCs w:val="19"/>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shd w:val="clear" w:color="auto" w:fill="CCEEFF"/>
          </w:tcPr>
          <w:p>
            <w:pPr>
              <w:spacing w:after="0"/>
              <w:rPr>
                <w:sz w:val="19"/>
                <w:szCs w:val="19"/>
                <w:color w:val="auto"/>
              </w:rPr>
            </w:pPr>
          </w:p>
        </w:tc>
        <w:tc>
          <w:tcPr>
            <w:tcW w:w="14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3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(19.5)</w:t>
            </w: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(16.5)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0.5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33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(19.6)%</w:t>
            </w:r>
          </w:p>
        </w:tc>
      </w:tr>
      <w:tr>
        <w:trPr>
          <w:trHeight w:val="20"/>
        </w:trPr>
        <w:tc>
          <w:tcPr>
            <w:tcW w:w="42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65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October 31, 2019 and 2020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3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71,815</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117,461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79.5 %</w:t>
            </w: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revenues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1100" w:type="dxa"/>
            <w:vAlign w:val="bottom"/>
            <w:gridSpan w:val="4"/>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30,245</w:t>
            </w:r>
          </w:p>
        </w:tc>
        <w:tc>
          <w:tcPr>
            <w:tcW w:w="11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54,229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99,676</w:t>
            </w:r>
          </w:p>
        </w:tc>
        <w:tc>
          <w:tcPr>
            <w:tcW w:w="60" w:type="dxa"/>
            <w:vAlign w:val="bottom"/>
            <w:tcBorders>
              <w:top w:val="single" w:sz="8" w:color="auto"/>
              <w:bottom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147,706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Subscription revenues increased $15.6 million for the three months ended October 31, 2020 compared to the three months ended October 31, 2019, primarily due to new customer additions, expansion from existing customers within and across lines of business and price increases, and an approximately $1.0 million one-time catch-up revenue benefit related to a consortium that utilized our software to process PPP loans. In the future, we expect an immaterial revenue contribution related to this consortium. Of the increase, 88.1% was attributable to increased revenues from existing customers as additional seats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were activated in accordance with contractual terms and customers expanded their adoption of our solution, and 11.9% was attributable to revenues from new nCino Bank Operating System customers. Subscription revenues were 79.8% of total revenues for the three months ended October 31, 2020 compared to 73.1% of total revenues for the three months ended October 31, 2019, reflecting the growth in our installed base.</w:t>
      </w:r>
    </w:p>
    <w:p>
      <w:pPr>
        <w:spacing w:after="0" w:line="176"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Subscription revenues increased $45.6 million for the nine months ended October 31, 2020 compared to the nine months ended October 31, 2019, primarily due to new customer additions, including customers added as a result of our acquisitions of Visible Equity and FinSuite, expansion from existing customers within and across lines of business and price increases, and an approximate $1.0 million one-time catch-up revenue benefit related to a consortium that utilized our software to process PPP loans. In the future, we expect an immaterial revenue contribution related to this consortium. Of the increase, 80.9% was attributable to increased revenues from existing customers as additional seats were activated in accordance with contractual terms and customers expanded their adoption of our solution, 11.4% was attributable to revenues from Visible Equity and FinSuite, and 7.7% was attributable to revenues from new nCino Bank Operating System customers. Subscription revenues were 79.5% of total revenues for the nine months ended October 31, 2020 compared to 72.0% of total revenues for the nine months ended October 31, 2019, reflecting the growth in our installed base.</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7"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revenues increased $0.8 million for the three months ended October 31, 2020 compared to the three months ended October 31, 2019, primarily due to the addition of new customers as well as expanded adoption by existing customers within and across lines of business where implementation, configuration and training services were required.</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revenues increased $2.4 million for the nine months ended October 31, 2020 compared to the nine months ended October 31, 2019,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Borders>
              <w:bottom w:val="single" w:sz="8" w:color="auto"/>
            </w:tcBorders>
          </w:tcPr>
          <w:p>
            <w:pPr>
              <w:spacing w:after="0"/>
              <w:rPr>
                <w:sz w:val="16"/>
                <w:szCs w:val="16"/>
                <w:color w:val="auto"/>
              </w:rPr>
            </w:pPr>
          </w:p>
        </w:tc>
      </w:tr>
      <w:tr>
        <w:trPr>
          <w:trHeight w:val="18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38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29.8 %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4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29.3 %</w:t>
            </w: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revenues</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3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38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40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3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43.3</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48"/>
        </w:trPr>
        <w:tc>
          <w:tcPr>
            <w:tcW w:w="33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Cost of subscription revenues increased $4.1 million for the three months ended October 31, 2020 compared to the three months ended October 31, 2019, generating a gross margin for subscription revenues of 71.4% compared to a gross margin of 70.2% for the three months ended October 31, 2019. Costs related to Salesforce user fees increased $3.2 million as we continued to add new customers and sell additional functionality to existing customers, and personnel costs increased $0.6 million as we added new employees. Stock-based compensation expense increased $0.1 million related to vesting of RSUs since the effective date of the IPO. Allocated overhead costs increased $0.1 million compared to the prior year period due to growth supporting our continued business expansion. Amortization expense for acquired developed technology related to the acquisition of Visible Equity and FinSuite increased $0.1 million due to amortization expense during the full period for the three months ended October 31, 2020. Other costs of subscription revenues increased $0.1 million due to data services purchased for resale.</w:t>
      </w:r>
    </w:p>
    <w:p>
      <w:pPr>
        <w:spacing w:after="0" w:line="19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Cost of subscription revenues increased $12.6 million for the nine months ended October 31, 2020 compared to the nine months ended October 31, 2019, generating a gross margin for subscription revenues of 70.7% compared to a gross margin of 69.6% for the nine months ended October 31, 2019. Costs related to Salesforce user fees increased $9.0 million as we continued to add new customers and sell additional functionality to existing customers, and personnel costs increased $1.7 million as we added new employees. Stock-based compensation expense increased $0.3 million, mostly attributable to RSUs being recognized upon the effective date of the IPO. Allocated overhead costs increased $0.2 million compared to the prior year period due to growth supporting our continued business expansion. Amortization expense for acquired developed technology related to the acquisitions of Visible Equity and FinSuite increased $0.8 million due to amortization expense during the full period for the nine months ended October 31, 2020. Other costs of subscription revenues increased $0.6 million due to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services purchased for resale. We expect the cost of subscription revenues will continue to increase in absolute dollars as the number of users of the nCino Bank Operating System grows.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Revenues</w:t>
      </w:r>
    </w:p>
    <w:p>
      <w:pPr>
        <w:spacing w:after="0" w:line="22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Cost of professional services revenues increased $1.5 million for the three months ended October 31, 2020 compared to the three months ended October 31, 2019, generating a gross margin for professional services of 7.5% compared to a gross margin of 15.1% for the three months ended October 31, 2019. Excluding the effect of additional stock-based compensation expense related to vesting of RSUs since the effective date of the IPO, gross margin for professional services for the three months ended October 31, 2020 was 13.7%. For the three months ended October 31, 2020, personnel costs increased $1.6 million for the professional services team compared to the prior year period due to increased headcount. Stock-based compensation expense increased $0.7 million related to vesting of RSUs since the effective date of the IPO. Allocated overhead costs increased $0.3 million compared to the prior year period due to growth supporting our continued business expansion. These increases were partially offset by a $0.8 million decrease in reimbursable, and a $0.3 million decrease in non-reimbursable, travel and related expenses for the professional service organization due to COVID-19-related travel restrictions. The decrease in our professional services gross margin for the three months ended October 31, 2020 was primarily due to additional stock-based compensation expense and continued investment in expansion of our international professional services teams.</w:t>
      </w:r>
    </w:p>
    <w:p>
      <w:pPr>
        <w:spacing w:after="0" w:line="194"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Cost of professional services revenues increased $5.7 million for the nine months ended October 31, 2020 compared to the nine months ended October 31, 2019, generating a gross margin for professional services of 2.2% compared to a gross margin of 14.3% for the nine months ended October 31, 2019. Excluding the effect of additional stock-based compensation expense, mostly attributable to RSUs being recognized upon the effective date of the IPO and also additional vesting of RSUs since the effective date of the IPO, gross margin for professional services for the nine months ended October 31, 2020 was 11.1%. For the nine months ended October 31, 2020, personnel costs increased $4.9 million for the professional services team compared to the prior year period due to increased headcount. Stock-based compensation expense increased $2.7 million mostly attributable to RSUs being recognized upon the effective date of the IPO and also additional vesting of RSUs since the effective date of the IPO. Allocated overhead costs increased $0.6 million compared to the prior year period due to growth supporting our continued business expansion. These increases were partially offset by a $1.9 million decrease in reimbursable, and a $0.6 million decrease in non-reimbursable, travel and related expenses for the professional service organization due to COVID-19-related travel restrictions. The decrease in our professional services gross margin for the nine months ended October 31, 2020 was primarily due to additional stock-based compensation expense and continued investment in expansion of our international professional services teams.</w:t>
      </w:r>
    </w:p>
    <w:p>
      <w:pPr>
        <w:spacing w:after="0" w:line="192"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Excluding the effect of IPO associated expenses related to RSUs,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20" w:type="dxa"/>
            <w:vAlign w:val="bottom"/>
            <w:tcBorders>
              <w:bottom w:val="single" w:sz="8" w:color="auto"/>
            </w:tcBorders>
          </w:tcPr>
          <w:p>
            <w:pPr>
              <w:spacing w:after="0"/>
              <w:rPr>
                <w:sz w:val="16"/>
                <w:szCs w:val="16"/>
                <w:color w:val="auto"/>
              </w:rPr>
            </w:pPr>
          </w:p>
        </w:tc>
      </w:tr>
      <w:tr>
        <w:trPr>
          <w:trHeight w:val="18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31.2 %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28.5 %</w:t>
            </w:r>
          </w:p>
        </w:tc>
      </w:tr>
      <w:tr>
        <w:trPr>
          <w:trHeight w:val="230"/>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3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40,503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3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(19.5)%</w:t>
            </w: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60" w:firstLine="891"/>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$1.6 million for the three months ended October 31, 2020 compared to the three months ended October 31, 2019, due to an increase of $2.4 million in personnel costs resulting from an increase in headcount on the sales and marketing teams. Stock-based compensation expense increased $1.0 million related to vesting of RSUs since the effective date of the IPO. The increase in sales and marketing expenses also included a $0.1 million increase in allocated overhead costs. The increase in sales and marketing expenses for the three months ended October 31, 2020 was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partially offset by a decrease of $0.6 million in marketing costs and a decrease of $1.3 million in sales-related travel costs due to COVID-19-related travel restrictions.</w:t>
      </w:r>
    </w:p>
    <w:p>
      <w:pPr>
        <w:spacing w:after="0" w:line="16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Sales and marketing expenses increased $11.0 million for the nine months ended October 31, 2020 compared to the nine months ended October 31, 2019, primarily due to an increase of $8.8 million in personnel costs resulting from an increase in headcount on the sales and marketing teams. Stock-based compensation expense increased $4.1 million mostly attributable to RSUs being recognized upon the effective date of the IPO and also additional vesting of RSUs since the effective date of the IPO. The increase in sales and marketing expenses also included a $0.9 million increase in allocated overhead costs and a $0.4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the nine months ended October 31, 2020. The increase in sales and marketing expenses for the nine months ended October 31, 2020 was partially offset by a decrease of $1.0 million in marketing costs and a decrease of $2.9 million in sales-related travel costs due to COVID-19-related travel restrictions.</w:t>
      </w:r>
    </w:p>
    <w:p>
      <w:pPr>
        <w:spacing w:after="0" w:line="188" w:lineRule="exact"/>
        <w:rPr>
          <w:sz w:val="20"/>
          <w:szCs w:val="20"/>
          <w:color w:val="auto"/>
        </w:rPr>
      </w:pPr>
    </w:p>
    <w:p>
      <w:pPr>
        <w:ind w:right="180" w:firstLine="891"/>
        <w:spacing w:after="0" w:line="312" w:lineRule="auto"/>
        <w:rPr>
          <w:sz w:val="20"/>
          <w:szCs w:val="20"/>
          <w:color w:val="auto"/>
        </w:rPr>
      </w:pPr>
      <w:r>
        <w:rPr>
          <w:rFonts w:ascii="Times New Roman" w:cs="Times New Roman" w:eastAsia="Times New Roman" w:hAnsi="Times New Roman"/>
          <w:sz w:val="17"/>
          <w:szCs w:val="17"/>
          <w:color w:val="auto"/>
        </w:rPr>
        <w:t>Our sales and marketing headcount grew by 34 from October 31, 2019 to October 31, 2020. Excluding the effect of IPO associated expenses related to RSUs, we expect sales and marketing expenses to increase in absolute dollars as we invest in expanding our customer base and user adoption.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$5.5 million for the three months ended October 31, 2020 compared to the three months ended October 31, 2019, primarily due to an increase of $3.6 million in personnel costs resulting from continued growth in headcount, a $0.5 million increase in allocated overhead costs due to growth supporting our continued business expansion, and an increase of $0.8 million in the use of third-party contractors. Stock-based compensation expense increased $0.8 million related to vesting of RSUs since the effective date of the IPO.</w:t>
      </w:r>
    </w:p>
    <w:p>
      <w:pPr>
        <w:spacing w:after="0" w:line="180"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$16.2 million for the nine months ended October 31, 2020 compared to the nine months ended October 31, 2019, primarily due to an increase of $10.8 million in personnel costs resulting from continued growth in headcount and a $1.3 million increase in allocated overhead costs due to growth supporting our continued business expansion. Stock-based compensation expense increased $3.5 million mostly attributable to RSUs being recognized upon the effective date of the IPO and also additional vesting of RSUs since the effective date of the IPO.</w:t>
      </w:r>
    </w:p>
    <w:p>
      <w:pPr>
        <w:spacing w:after="0" w:line="180"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Our research and development headcount grew by 96 from October 31, 2019 to October 31, 2020. Excluding the effect of IPO associated expenses related to RSUs, we expect research and development expenses to increase in absolute dollars due to higher headcount as we continue to develop new applications and further enhance the nCino Bank Operating System.</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$5.7 million for the three months ended October 31, 2020 compared to the three months ended October 31, 2019, primarily due to stock-based compensation expense of $2.0 million related to vesting of RSUs since the effective date of the IPO, a $1.6 million increase to personnel costs from increased headcount as we continued to scale our business and to an increase in third party professional fees of $1.0 million, mostly attributable to costs related to the Company's Secondary Offering. Allocated overhead and other general and administrative costs increased $1.3 million, which consisted primarily of increased insurance costs associated with being a public company. The increase in general and administrative expenses for the three months ended October 31, 2020 was partially offset by a decrease of $0.2 million travel costs due to COVID-19-related travel restrictions.</w:t>
      </w:r>
    </w:p>
    <w:p>
      <w:pPr>
        <w:spacing w:after="0" w:line="18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$13.2 million for the nine months ended October 31, 2020 compared to the nine months ended October 31, 2019, primarily due to stock-based compensation expense of $6.2 million mostly attributable to RSUs being recognized upon the effective date of the IPO and also additional vesting of RSUs since the effective date of the IPO, partially offset by $1.2 million of stock-based compensation expense for the accelerated vesting of an executive's stock options for the nine months ended October 31, 2019 that did not occur for the nine months ended October 31, 2020. Personnel costs increased $3.6 million from increased headcount as we continued to scale our business. Third party professional fees increased $2.0 million for the nine months ended October 31, 2020 compared to the nine months ended October 31, 2019, mostly attributable to costs related to the Company’s IPO and Secondary Offering. Allocated overhead and other general and administrative costs increased $3.0 million, which consisted primarily of bad debt expense, charitable contributions and insurance costs associated with being a public company. The increase in general and administrative expenses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October 31, 2020 was partially offset by a decrease of $0.4 million travel costs due to COVID-19-related travel restrictions.</w:t>
      </w:r>
    </w:p>
    <w:p>
      <w:pPr>
        <w:spacing w:after="0" w:line="225"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Our general and administrative headcount grew by 34 from October 31, 2019 to October 31, 2020.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Effects of COVID-19</w:t>
      </w:r>
    </w:p>
    <w:p>
      <w:pPr>
        <w:spacing w:after="0" w:line="22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We expect these restrictions to stay in effect during the fourth quarter of fiscal 2021 and could extend further into future quarters.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 included in the Company's prospectus for the Secondary Offering dated October 7, 2020 and filed with the SEC pursuant to Rule 424(b)(4) on October 9,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2020, we had $378.6 million in cash and cash equivalents, and an accumulated deficit of $149.1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76"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$2.5 million in additional IPO related costs during the nine months ended October 31, 2020.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believe that current cash and cash equivalents will be sufficient to fund our operations and capital requirements for at least the next</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October 31, 2020, the redeemable non-controlling interest of non-controlling interests in nCino K.K. was $4.4 million and $4.2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nine months ended October 31, 2019 and 2020 are set forth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2020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269,710</w:t>
            </w: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$21.1 million provided by operating activities in the nine months ended October 31, 2020 reflects our net loss of $28.8 million, offset by $29.0 million in non-cash charges and $20.9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$11.4 million increase in our deferred revenue, as we expanded our customer base and renewed existing customers, and a $17.7 million decrease in accounts receivable. The cash generated by working capital accounts was partially offset by payments of $4.5 million of capitalized costs to obtain revenue contracts, which consisted primarily of sales commissions, a $2.7 million increase in prepaid expenses and other assets, a $0.9 million decrease in accounts payable and accrued expenses and other liabilities, and a decrease of $0.1 million in deferred rent.</w:t>
      </w:r>
    </w:p>
    <w:p>
      <w:pPr>
        <w:spacing w:after="0" w:line="189"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$2.2 million provided by operating activities in the nine months ended October 31, 2019 reflects our net loss of $18.0 million, offset by $9.9 million in non-cash charges and $10.3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$4.1 million increase in our deferred revenue, as we expanded our customer base and renewed existing customers, a $1.1 million increase in deferred rent, a $9.0 million decrease in accounts receivable, and a $0.1 million decrease in prepaid expenses and other assets. The cash generated by working capital accounts was partially offset by a $1.6 million decrease in accounts payable and accrued expenses and other liabilities, and payments of $2.4 million of capitalized costs to obtain revenue contracts, which consisted primarily of sales commissions.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We used $3.8 million in investing activities in the nine months ended October 31, 2020 for the purchase of property and equipment and leasehold improvements to support the expansion of our business. The $55.6 million used in investing activities in the nine months ended October 31, 2019 comprised of $3.4 million used for the purchase of property and equipment and leasehold improvements to support the expansion of our business and $52.3 million used in the acquisition of Visible Equity and FinSuite.</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The $269.7 million provided by financing activities in the nine months ended October 31, 2020 was comprised $268.4 million in proceeds from the IPO in July 2020, net of underwriting discounts and commissions and $3.8 million of proceeds from the exercise of stock options. The cash provided by financing activities was partially reduced by payments of $2.5 million in costs related to the IPO. The $85.2 million provided by financing activities in the nine months ended October 31, 2019 was comprised principally of $79.9 million in proceeds from equity financings, net of issuance costs, as well as $4.5 million in proceeds from the non-controlling interest for our Japan joint venture and $0.7 million of proceeds from the exercise of stock options.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as of October 31, 2020 compared to January 31, 2020 as disclosed in our final prospectus for the Secondary Offering dated October 7, 2020 and filed with the SEC pursuant to Rule 424(b)(4) on October 9, 2020.</w:t>
      </w:r>
    </w:p>
    <w:p>
      <w:pPr>
        <w:spacing w:after="0" w:line="16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 November 29, 2020, the Company entered into a lease with a new lessor with changed terms and amounts and subject to additional agreements, pursuant to which the Company will continue to lease approximately 89,975 square feet of space for its existing corporate headquarters. See Note 14, Subsequent Event of the notes to our unaudited condensed consolidated financial statements included in Part 1, Item 1 of this Quarterly Report on Form 10-Q for the full description.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4" w:lineRule="exact"/>
        <w:rPr>
          <w:sz w:val="20"/>
          <w:szCs w:val="20"/>
          <w:color w:val="auto"/>
        </w:rPr>
      </w:pPr>
    </w:p>
    <w:p>
      <w:pPr>
        <w:ind w:firstLine="891"/>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final prospectus for the Secondary Offering dated October 7, 2020 and filed with the SEC pursuant to Rule 424(b)(4) on October 9,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unaudited condensed consolidated financial statements included in Part 1, Item 1 of this Quarterly Report on Form 10-Q for recently adopted accounting pronouncements and recently issued accounting pronouncements not yet adopted.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2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At October 31, 2020, we had cash and cash equivalents of $378.6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891"/>
        <w:spacing w:after="0" w:line="272"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October 31, 2020, the last day of the period covered by this Quarterly Report on Form 10-Q. Based on this evaluation, our principal executive officer and principal financial officer have concluded that, at October 31, 2020,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229"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r>
        <w:rPr>
          <w:rFonts w:ascii="Arial" w:cs="Arial" w:eastAsia="Arial" w:hAnsi="Arial"/>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891"/>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final prospectus for the Secondary Offering dated October 7, 2020 and filed with the SEC pursuant to Rule 424(b)(4) on October 9, 2020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In October 2020 and again in November 2020, 142,846 shares of common stock were earned as the share portion of contingent consideration in connection with our acquisition of FinSuite. These 285,692 shares of common stock issued in November 2020 were made to non-U.S. persons (as that term is defined in Regulation S of the Securities Act of 1933), in an offshore transaction relying on Regulation S of the Securities Act of 1933, as amended. See Note 6, Business Combinations of the notes to our unaudited condensed consolidated financial statements included in Part 1, Item 1 of this Quarterly Report on Form 10-Q for further information regarding the share portion of contingent consideration regarding this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IPO</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On July 16, 2020, we completed our IPO, selling 9,269,000 shares of our common stock at a price of $31.00 per share (including shares subject to the underwriters’ over-allotment option) for an aggregate price of $287.3 million. The offer and sale of the shares in the IPO was registered under the Securities Act pursuant to a registration statement on Form S-1 (File No. 333-239335), which was declared effective by the SEC on July 13, 2020. We raised approximately $268.4 million in net proceeds after deducting underwriting discounts and commissions of approximately $18.9 million.</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IPO for general corporate purposes, including working capital and capital expenditures such as additional office facilities. We may also use a portion of the net proceeds to acquire, invest in or obtain rights to complementary technologies, products, services or businesses. The underwriters of the offering were BofA Securities, Inc. and Barclays Capital Inc. No payments were made by us to directors, officers or persons owning ten percent or more of our common stock or to their associates, or to our affiliates, other than payments in the ordinary course of business to officers for salaries.</w:t>
      </w:r>
    </w:p>
    <w:p>
      <w:pPr>
        <w:spacing w:after="0" w:line="183"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IPO proceeds as described in our final prospectus for the IPO dated July 13, 2020 and filed with the SEC on July 14, 2020, pursuant to Rule 424(b)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60" w:type="dxa"/>
            <w:vAlign w:val="bottom"/>
            <w:gridSpan w:val="6"/>
          </w:tcPr>
          <w:p>
            <w:pPr>
              <w:ind w:left="2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4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60" w:type="dxa"/>
            <w:vAlign w:val="bottom"/>
            <w:gridSpan w:val="6"/>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4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Adopted Pursuant to Section 302 of the Sarbanes-Oxley Act of 2002.</w:t>
              </w:r>
            </w:hyperlink>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Adopted Pursuant to Section 302 of the Sarbanes-Oxley Act of 2002.</w:t>
              </w:r>
            </w:hyperlink>
          </w:p>
        </w:tc>
        <w:tc>
          <w:tcPr>
            <w:tcW w:w="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Oxley Act of 2002.</w:t>
              </w:r>
            </w:hyperlink>
          </w:p>
        </w:tc>
        <w:tc>
          <w:tcPr>
            <w:tcW w:w="4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40" w:type="dxa"/>
            <w:vAlign w:val="bottom"/>
            <w:gridSpan w:val="8"/>
          </w:tcPr>
          <w:p>
            <w:pPr>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Act of 2002.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83"/>
        </w:trPr>
        <w:tc>
          <w:tcPr>
            <w:tcW w:w="10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9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Pierre Naudé</w:t>
      </w:r>
    </w:p>
    <w:p>
      <w:pPr>
        <w:ind w:left="688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 Director</w:t>
      </w: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ind w:left="20"/>
        <w:spacing w:after="0"/>
        <w:tabs>
          <w:tab w:leader="none" w:pos="6320" w:val="left"/>
          <w:tab w:leader="none" w:pos="686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David Rudow</w:t>
      </w:r>
    </w:p>
    <w:p>
      <w:pPr>
        <w:ind w:left="6880"/>
        <w:spacing w:after="0" w:line="203" w:lineRule="auto"/>
        <w:rPr>
          <w:sz w:val="20"/>
          <w:szCs w:val="20"/>
          <w:color w:val="auto"/>
        </w:rPr>
      </w:pPr>
      <w:r>
        <w:rPr>
          <w:rFonts w:ascii="Times New Roman" w:cs="Times New Roman" w:eastAsia="Times New Roman" w:hAnsi="Times New Roman"/>
          <w:sz w:val="18"/>
          <w:szCs w:val="18"/>
          <w:color w:val="auto"/>
        </w:rPr>
        <w:t>Chief Financial Officer and Treasurer</w:t>
      </w:r>
    </w:p>
    <w:p>
      <w:pPr>
        <w:ind w:left="6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20"/>
          </w:cols>
          <w:pgMar w:left="320" w:top="121" w:right="11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43" w:lineRule="exact"/>
        <w:rPr>
          <w:sz w:val="20"/>
          <w:szCs w:val="20"/>
          <w:color w:val="auto"/>
        </w:rPr>
      </w:pPr>
    </w:p>
    <w:p>
      <w:pPr>
        <w:ind w:left="700" w:hanging="692"/>
        <w:spacing w:after="0"/>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42" w:lineRule="exact"/>
        <w:rPr>
          <w:rFonts w:ascii="Times New Roman" w:cs="Times New Roman" w:eastAsia="Times New Roman" w:hAnsi="Times New Roman"/>
          <w:sz w:val="20"/>
          <w:szCs w:val="20"/>
          <w:color w:val="auto"/>
        </w:rPr>
      </w:pPr>
    </w:p>
    <w:p>
      <w:pPr>
        <w:ind w:left="660" w:right="40" w:hanging="652"/>
        <w:spacing w:after="0" w:line="254"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left="660" w:right="220" w:hanging="652"/>
        <w:spacing w:after="0" w:line="269"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86" w:lineRule="exact"/>
        <w:rPr>
          <w:rFonts w:ascii="Times New Roman" w:cs="Times New Roman" w:eastAsia="Times New Roman" w:hAnsi="Times New Roman"/>
          <w:sz w:val="20"/>
          <w:szCs w:val="20"/>
          <w:color w:val="auto"/>
        </w:rPr>
      </w:pPr>
    </w:p>
    <w:p>
      <w:pPr>
        <w:ind w:left="1300" w:right="100" w:hanging="644"/>
        <w:spacing w:after="0" w:line="254" w:lineRule="auto"/>
        <w:tabs>
          <w:tab w:leader="none" w:pos="12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omitted pursuant to SEC Release Nos. 33-8238/34-47986 and 33-8392/34-49313);</w:t>
      </w:r>
    </w:p>
    <w:p>
      <w:pPr>
        <w:spacing w:after="0" w:line="242" w:lineRule="exact"/>
        <w:rPr>
          <w:rFonts w:ascii="Times New Roman" w:cs="Times New Roman" w:eastAsia="Times New Roman" w:hAnsi="Times New Roman"/>
          <w:sz w:val="20"/>
          <w:szCs w:val="20"/>
          <w:color w:val="auto"/>
        </w:rPr>
      </w:pPr>
    </w:p>
    <w:p>
      <w:pPr>
        <w:jc w:val="both"/>
        <w:ind w:left="1300" w:right="80" w:hanging="644"/>
        <w:spacing w:after="0" w:line="254" w:lineRule="auto"/>
        <w:tabs>
          <w:tab w:leader="none" w:pos="12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left="1300" w:right="120" w:hanging="644"/>
        <w:spacing w:after="0" w:line="274" w:lineRule="auto"/>
        <w:tabs>
          <w:tab w:leader="none" w:pos="1288"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9"/>
          <w:szCs w:val="19"/>
          <w:color w:val="auto"/>
        </w:rPr>
      </w:pPr>
    </w:p>
    <w:p>
      <w:pPr>
        <w:ind w:left="660" w:right="80" w:hanging="652"/>
        <w:spacing w:after="0" w:line="254"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09" w:right="339" w:bottom="1440" w:gutter="0" w:footer="0" w:header="0"/>
        </w:sectPr>
      </w:pPr>
    </w:p>
    <w:bookmarkStart w:id="43" w:name="page44"/>
    <w:bookmarkEnd w:id="43"/>
    <w:p>
      <w:pPr>
        <w:ind w:left="1280" w:hanging="644"/>
        <w:spacing w:after="0" w:line="254" w:lineRule="auto"/>
        <w:tabs>
          <w:tab w:leader="none" w:pos="12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280" w:right="420" w:hanging="644"/>
        <w:spacing w:after="0" w:line="269" w:lineRule="auto"/>
        <w:tabs>
          <w:tab w:leader="none" w:pos="12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20"/>
          <w:szCs w:val="20"/>
          <w:color w:val="auto"/>
        </w:rPr>
        <w:t>Date: December 10, 2020</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31115</wp:posOffset>
            </wp:positionV>
            <wp:extent cx="28975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Pierre Naudé</w:t>
      </w:r>
    </w:p>
    <w:p>
      <w:pPr>
        <w:spacing w:after="0" w:line="5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0880"/>
          </w:cols>
          <w:pgMar w:left="340" w:top="1413" w:right="6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Rudow, certify that:</w:t>
      </w:r>
    </w:p>
    <w:p>
      <w:pPr>
        <w:spacing w:after="0" w:line="243" w:lineRule="exact"/>
        <w:rPr>
          <w:sz w:val="20"/>
          <w:szCs w:val="20"/>
          <w:color w:val="auto"/>
        </w:rPr>
      </w:pPr>
    </w:p>
    <w:p>
      <w:pPr>
        <w:ind w:left="700" w:hanging="692"/>
        <w:spacing w:after="0"/>
        <w:tabs>
          <w:tab w:leader="none" w:pos="7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42" w:lineRule="exact"/>
        <w:rPr>
          <w:rFonts w:ascii="Times New Roman" w:cs="Times New Roman" w:eastAsia="Times New Roman" w:hAnsi="Times New Roman"/>
          <w:sz w:val="20"/>
          <w:szCs w:val="20"/>
          <w:color w:val="auto"/>
        </w:rPr>
      </w:pPr>
    </w:p>
    <w:p>
      <w:pPr>
        <w:ind w:left="660" w:right="4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Times New Roman" w:cs="Times New Roman" w:eastAsia="Times New Roman" w:hAnsi="Times New Roman"/>
          <w:sz w:val="20"/>
          <w:szCs w:val="20"/>
          <w:color w:val="auto"/>
        </w:rPr>
      </w:pPr>
    </w:p>
    <w:p>
      <w:pPr>
        <w:ind w:left="660" w:right="220" w:hanging="652"/>
        <w:spacing w:after="0" w:line="269"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86" w:lineRule="exact"/>
        <w:rPr>
          <w:rFonts w:ascii="Times New Roman" w:cs="Times New Roman" w:eastAsia="Times New Roman" w:hAnsi="Times New Roman"/>
          <w:sz w:val="20"/>
          <w:szCs w:val="20"/>
          <w:color w:val="auto"/>
        </w:rPr>
      </w:pPr>
    </w:p>
    <w:p>
      <w:pPr>
        <w:ind w:left="1300" w:right="100" w:hanging="644"/>
        <w:spacing w:after="0" w:line="254" w:lineRule="auto"/>
        <w:tabs>
          <w:tab w:leader="none" w:pos="128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omitted pursuant to SEC Release Nos. 33-8238/34-47986 and 33-8392/34-49313);</w:t>
      </w:r>
    </w:p>
    <w:p>
      <w:pPr>
        <w:spacing w:after="0" w:line="242" w:lineRule="exact"/>
        <w:rPr>
          <w:rFonts w:ascii="Times New Roman" w:cs="Times New Roman" w:eastAsia="Times New Roman" w:hAnsi="Times New Roman"/>
          <w:sz w:val="20"/>
          <w:szCs w:val="20"/>
          <w:color w:val="auto"/>
        </w:rPr>
      </w:pPr>
    </w:p>
    <w:p>
      <w:pPr>
        <w:jc w:val="both"/>
        <w:ind w:left="1300" w:right="80" w:hanging="644"/>
        <w:spacing w:after="0" w:line="254" w:lineRule="auto"/>
        <w:tabs>
          <w:tab w:leader="none" w:pos="128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left="1300" w:right="120" w:hanging="644"/>
        <w:spacing w:after="0" w:line="274" w:lineRule="auto"/>
        <w:tabs>
          <w:tab w:leader="none" w:pos="1300"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9"/>
          <w:szCs w:val="19"/>
          <w:color w:val="auto"/>
        </w:rPr>
      </w:pPr>
    </w:p>
    <w:p>
      <w:pPr>
        <w:ind w:left="660" w:right="80" w:hanging="652"/>
        <w:spacing w:after="0" w:line="254"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09" w:right="339" w:bottom="1440" w:gutter="0" w:footer="0" w:header="0"/>
        </w:sectPr>
      </w:pPr>
    </w:p>
    <w:bookmarkStart w:id="45" w:name="page46"/>
    <w:bookmarkEnd w:id="45"/>
    <w:p>
      <w:pPr>
        <w:ind w:left="1280" w:right="100" w:hanging="644"/>
        <w:spacing w:after="0" w:line="254" w:lineRule="auto"/>
        <w:tabs>
          <w:tab w:leader="none" w:pos="126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280" w:right="520" w:hanging="644"/>
        <w:spacing w:after="0" w:line="269" w:lineRule="auto"/>
        <w:tabs>
          <w:tab w:leader="none" w:pos="12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10, 2020</w:t>
            </w:r>
          </w:p>
        </w:tc>
        <w:tc>
          <w:tcPr>
            <w:tcW w:w="254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David Rudow</w:t>
            </w:r>
          </w:p>
        </w:tc>
      </w:tr>
      <w:tr>
        <w:trPr>
          <w:trHeight w:val="227"/>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5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David Rudow</w:t>
            </w:r>
          </w:p>
        </w:tc>
      </w:tr>
      <w:tr>
        <w:trPr>
          <w:trHeight w:val="258"/>
        </w:trPr>
        <w:tc>
          <w:tcPr>
            <w:tcW w:w="3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w:t>
            </w:r>
          </w:p>
        </w:tc>
      </w:tr>
    </w:tbl>
    <w:p>
      <w:pPr>
        <w:sectPr>
          <w:pgSz w:w="11900" w:h="16838" w:orient="portrait"/>
          <w:cols w:equalWidth="0" w:num="1">
            <w:col w:w="10980"/>
          </w:cols>
          <w:pgMar w:left="340" w:top="1413" w:right="5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jc w:val="both"/>
        <w:ind w:right="20" w:firstLine="516"/>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1300" w:hanging="776"/>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69" w:lineRule="auto"/>
        <w:tabs>
          <w:tab w:leader="none" w:pos="129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10, 2020</w:t>
            </w:r>
          </w:p>
        </w:tc>
        <w:tc>
          <w:tcPr>
            <w:tcW w:w="254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Pierre Naudé</w:t>
            </w:r>
          </w:p>
        </w:tc>
      </w:tr>
      <w:tr>
        <w:trPr>
          <w:trHeight w:val="227"/>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5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Pierre Naudé</w:t>
            </w:r>
          </w:p>
        </w:tc>
      </w:tr>
      <w:tr>
        <w:trPr>
          <w:trHeight w:val="258"/>
        </w:trPr>
        <w:tc>
          <w:tcPr>
            <w:tcW w:w="3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jc w:val="both"/>
        <w:ind w:right="20" w:firstLine="516"/>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2020 as filed with the Securities and Exchange Commission on the date hereof (the “Report”), I certify, pursuant to 18 U.S.C. § 1350, as adopted pursuant to § 906 of the Sarbanes-Oxley Act of 2002, that, to my knowledge:</w:t>
      </w:r>
    </w:p>
    <w:p>
      <w:pPr>
        <w:spacing w:after="0" w:line="174" w:lineRule="exact"/>
        <w:rPr>
          <w:sz w:val="20"/>
          <w:szCs w:val="20"/>
          <w:color w:val="auto"/>
        </w:rPr>
      </w:pPr>
    </w:p>
    <w:p>
      <w:pPr>
        <w:ind w:left="1300" w:hanging="776"/>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69" w:lineRule="auto"/>
        <w:tabs>
          <w:tab w:leader="none" w:pos="129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10, 2020</w:t>
            </w:r>
          </w:p>
        </w:tc>
        <w:tc>
          <w:tcPr>
            <w:tcW w:w="2540" w:type="dxa"/>
            <w:vAlign w:val="bottom"/>
          </w:tcPr>
          <w:p>
            <w:pPr>
              <w:ind w:left="1820"/>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David Rudow</w:t>
            </w:r>
          </w:p>
        </w:tc>
      </w:tr>
      <w:tr>
        <w:trPr>
          <w:trHeight w:val="227"/>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5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David Rudow</w:t>
            </w:r>
          </w:p>
        </w:tc>
      </w:tr>
      <w:tr>
        <w:trPr>
          <w:trHeight w:val="258"/>
        </w:trPr>
        <w:tc>
          <w:tcPr>
            <w:tcW w:w="38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2020-12-10T07:18:55Z</dcterms:created>
  <dcterms:modified xsi:type="dcterms:W3CDTF">2020-12-10T07:18:55Z</dcterms:modified>
</cp:coreProperties>
</file>